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document.xml" ContentType="application/vnd.openxmlformats-officedocument.wordprocessingml.document.main+xml"/>
  <Override PartName="/word/header1.xml" ContentType="application/vnd.openxmlformats-officedocument.wordprocessingml.header+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after="80"/>
        <w:ind/>
        <w:jc w:val="center"/>
        <w:rPr/>
      </w:pPr>
      <w:r>
        <w:rPr>
          <w:rFonts w:ascii="Arial" w:hAnsi="Arial" w:eastAsia="Arial" w:cs="Arial"/>
          <w:b/>
          <w:bCs/>
          <w:sz w:val="36"/>
          <w:szCs w:val="36"/>
        </w:rPr>
        <w:t xml:space="preserve">Empirical Evaluation of SHAP for Model Interpretability:</w:t>
      </w:r>
      <w:r/>
    </w:p>
    <w:p>
      <w:pPr>
        <w:pBdr/>
        <w:spacing w:after="240"/>
        <w:ind/>
        <w:jc w:val="center"/>
        <w:rPr/>
      </w:pPr>
      <w:r>
        <w:rPr>
          <w:rFonts w:ascii="Arial" w:hAnsi="Arial" w:eastAsia="Arial" w:cs="Arial"/>
          <w:b/>
          <w:bCs/>
          <w:sz w:val="36"/>
          <w:szCs w:val="36"/>
        </w:rPr>
        <w:t xml:space="preserve">A Comparison of LinearSHAP, TreeSHAP, and LIME on the California Housing Dataset</w:t>
      </w:r>
      <w:r/>
    </w:p>
    <w:p>
      <w:pPr>
        <w:pBdr/>
        <w:spacing w:after="80"/>
        <w:ind/>
        <w:jc w:val="center"/>
        <w:rPr/>
      </w:pPr>
      <w:r>
        <w:rPr>
          <w:rFonts w:ascii="Arial" w:hAnsi="Arial" w:eastAsia="Arial" w:cs="Arial"/>
          <w:color w:val="4a5568"/>
          <w:sz w:val="22"/>
          <w:szCs w:val="22"/>
        </w:rPr>
        <w:t xml:space="preserve">Research Seminar: Model Interpretability in Machine Learning</w:t>
      </w:r>
      <w:r/>
    </w:p>
    <w:p>
      <w:pPr>
        <w:pBdr/>
        <w:spacing w:after="480"/>
        <w:ind/>
        <w:jc w:val="center"/>
        <w:rPr/>
      </w:pPr>
      <w:r>
        <w:rPr>
          <w:rFonts w:ascii="Arial" w:hAnsi="Arial" w:eastAsia="Arial" w:cs="Arial"/>
          <w:color w:val="4a5568"/>
          <w:sz w:val="22"/>
          <w:szCs w:val="22"/>
        </w:rPr>
      </w:r>
      <w:r/>
    </w:p>
    <w:p>
      <w:pPr>
        <w:pBdr/>
        <w:spacing w:after="120"/>
        <w:ind/>
        <w:jc w:val="center"/>
        <w:rPr/>
      </w:pPr>
      <w:r>
        <w:rPr>
          <w:rFonts w:ascii="Arial" w:hAnsi="Arial" w:eastAsia="Arial" w:cs="Arial"/>
          <w:b/>
          <w:bCs/>
          <w:sz w:val="26"/>
          <w:szCs w:val="26"/>
        </w:rPr>
        <w:t xml:space="preserve">Abstract</w:t>
      </w:r>
      <w:r/>
    </w:p>
    <w:p>
      <w:pPr>
        <w:pStyle w:val="747"/>
        <w:pBdr/>
        <w:spacing w:after="160" w:line="276" w:lineRule="auto"/>
        <w:ind w:right="720" w:left="720"/>
        <w:jc w:val="both"/>
        <w:rPr/>
      </w:pPr>
      <w:r>
        <w:rPr>
          <w:rFonts w:ascii="Times New Roman" w:hAnsi="Times New Roman" w:eastAsia="Times New Roman" w:cs="Times New Roman"/>
          <w:sz w:val="24"/>
          <w:szCs w:val="24"/>
        </w:rPr>
        <w:t xml:space="preserve">This paper presents an empirical evaluation of SHapley Additive exPlanations (SHAP) as a framework for post-hoc machine learning interpretability, with a direct </w:t>
      </w:r>
      <w:r>
        <w:rPr>
          <w:rFonts w:ascii="Times New Roman" w:hAnsi="Times New Roman" w:eastAsia="Times New Roman" w:cs="Times New Roman"/>
          <w:sz w:val="24"/>
          <w:szCs w:val="24"/>
        </w:rPr>
        <w:t xml:space="preserve">comparison against Local Interpretable Model-agnostic Explanations (LIME). Two regression models of contrasting complexity: Linear Regression and Random Forest, are trained on the California Housing dataset (20,640 observations, 8 features). LinearSHAP a</w:t>
      </w:r>
      <w:r>
        <w:rPr>
          <w:rFonts w:ascii="Times New Roman" w:hAnsi="Times New Roman" w:eastAsia="Times New Roman" w:cs="Times New Roman"/>
          <w:sz w:val="24"/>
          <w:szCs w:val="24"/>
        </w:rPr>
        <w:t xml:space="preserve">nd TreeSHAP are applied to the respective models, and LIME is applied to both as a comparison baseline. Three hypotheses are tested: that median household income dominates feature attributions (H1), that geographic features exhibit non-uniform spatial attr</w:t>
      </w:r>
      <w:r>
        <w:rPr>
          <w:rFonts w:ascii="Times New Roman" w:hAnsi="Times New Roman" w:eastAsia="Times New Roman" w:cs="Times New Roman"/>
          <w:sz w:val="24"/>
          <w:szCs w:val="24"/>
        </w:rPr>
        <w:t xml:space="preserve">ibution patterns (H2), and that the Random Forest produces qualitatively different explanations than Linear Regression, with measurable divergence between TreeSHAP and LIME (H3). Results confirm all three hypotheses. The Random Forest achieves an R² of 0.8</w:t>
      </w:r>
      <w:r>
        <w:rPr>
          <w:rFonts w:ascii="Times New Roman" w:hAnsi="Times New Roman" w:eastAsia="Times New Roman" w:cs="Times New Roman"/>
          <w:sz w:val="24"/>
          <w:szCs w:val="24"/>
        </w:rPr>
        <w:t xml:space="preserve">062, compared to 0.5758 for Linear Regression, representing a 40.0% improvement. MedInc ranks first in both SHAP and LIME attributions for the Random Forest. A mean Spearman rank correlation of 0.731 between TreeSHAP and LIME attributions on the Random For</w:t>
      </w:r>
      <w:r>
        <w:rPr>
          <w:rFonts w:ascii="Times New Roman" w:hAnsi="Times New Roman" w:eastAsia="Times New Roman" w:cs="Times New Roman"/>
          <w:sz w:val="24"/>
          <w:szCs w:val="24"/>
        </w:rPr>
        <w:t xml:space="preserve">est indicates notable disagreement, consistent with LIME’s theoretical limitations. These findings support the use of SHAP over LIME when model internals are accessible, and highlight the practical significance of non-linearity in housing price prediction.</w:t>
      </w:r>
      <w:r/>
    </w:p>
    <w:p>
      <w:pPr>
        <w:pBdr/>
        <w:spacing w:after="60"/>
        <w:ind/>
        <w:rPr/>
      </w:pPr>
      <w:r/>
      <w:r/>
    </w:p>
    <w:p>
      <w:pPr>
        <w:pBdr/>
        <w:spacing/>
        <w:ind/>
        <w:rPr/>
      </w:pPr>
      <w:r>
        <w:br w:type="page" w:clear="all"/>
      </w:r>
      <w:r/>
    </w:p>
    <w:p>
      <w:pPr>
        <w:pStyle w:val="744"/>
        <w:pBdr/>
        <w:spacing/>
        <w:ind/>
        <w:rPr/>
      </w:pPr>
      <w:r>
        <w:t xml:space="preserve">1. Introduction</w:t>
      </w:r>
      <w:r/>
    </w:p>
    <w:p>
      <w:pPr>
        <w:pBdr/>
        <w:spacing w:after="160" w:line="276" w:lineRule="auto"/>
        <w:ind/>
        <w:jc w:val="both"/>
        <w:rPr/>
      </w:pPr>
      <w:r>
        <w:rPr>
          <w:rFonts w:ascii="Times New Roman" w:hAnsi="Times New Roman" w:eastAsia="Times New Roman" w:cs="Times New Roman"/>
          <w:sz w:val="24"/>
          <w:szCs w:val="24"/>
        </w:rPr>
        <w:t xml:space="preserve">Modern machine learning models achieve high predictive accuracy by learning complex, non-linear patterns from data. However, this expressiveness come</w:t>
      </w:r>
      <w:r>
        <w:rPr>
          <w:rFonts w:ascii="Times New Roman" w:hAnsi="Times New Roman" w:eastAsia="Times New Roman" w:cs="Times New Roman"/>
          <w:sz w:val="24"/>
          <w:szCs w:val="24"/>
        </w:rPr>
        <w:t xml:space="preserve">s at a cost: the internal representations learned by models such as Random Forests or neural networks are not directly human-readable. A practitioner presented with a prediction from such a model cannot, by inspection, determine which input features drove </w:t>
      </w:r>
      <w:r>
        <w:rPr>
          <w:rFonts w:ascii="Times New Roman" w:hAnsi="Times New Roman" w:eastAsia="Times New Roman" w:cs="Times New Roman"/>
          <w:sz w:val="24"/>
          <w:szCs w:val="24"/>
        </w:rPr>
        <w:t xml:space="preserve">that prediction or by how much. This opacity is increasingly problematic in high-stakes applications: medical diagnosis, credit scoring, judicial risk assessment, where regulatory requirements and ethical obligations demand that decisions be explainable.</w:t>
      </w:r>
      <w:r/>
    </w:p>
    <w:p>
      <w:pPr>
        <w:pBdr/>
        <w:spacing w:after="160" w:line="276" w:lineRule="auto"/>
        <w:ind/>
        <w:jc w:val="both"/>
        <w:rPr/>
      </w:pPr>
      <w:r>
        <w:rPr>
          <w:rFonts w:ascii="Times New Roman" w:hAnsi="Times New Roman" w:eastAsia="Times New Roman" w:cs="Times New Roman"/>
          <w:sz w:val="24"/>
          <w:szCs w:val="24"/>
        </w:rPr>
        <w:t xml:space="preserve">The field of Explainable Artificial Intellige</w:t>
      </w:r>
      <w:r>
        <w:rPr>
          <w:rFonts w:ascii="Times New Roman" w:hAnsi="Times New Roman" w:eastAsia="Times New Roman" w:cs="Times New Roman"/>
          <w:sz w:val="24"/>
          <w:szCs w:val="24"/>
        </w:rPr>
        <w:t xml:space="preserve">nce (XAI) addresses this problem through post-hoc explanation methods: tools that, given a trained model and an input, produce a human-interpretable account of the model’s prediction. Two methods have dominated applied practice: LIME (Ribeiro, Singh, &amp; Gue</w:t>
      </w:r>
      <w:r>
        <w:rPr>
          <w:rFonts w:ascii="Times New Roman" w:hAnsi="Times New Roman" w:eastAsia="Times New Roman" w:cs="Times New Roman"/>
          <w:sz w:val="24"/>
          <w:szCs w:val="24"/>
        </w:rPr>
        <w:t xml:space="preserve">strin, 2016) and SHAP (Lundberg &amp; Lee, 2017). Both are local methods,  they explain individual predictions rather than the model globally,  and both are model-agnostic in principle, though SHAP offers efficient exact algorithms for specific model families.</w:t>
      </w:r>
      <w:r/>
    </w:p>
    <w:p>
      <w:pPr>
        <w:pBdr/>
        <w:spacing w:after="160" w:line="276" w:lineRule="auto"/>
        <w:ind/>
        <w:jc w:val="both"/>
        <w:rPr/>
      </w:pPr>
      <w:r>
        <w:rPr>
          <w:rFonts w:ascii="Times New Roman" w:hAnsi="Times New Roman" w:eastAsia="Times New Roman" w:cs="Times New Roman"/>
          <w:sz w:val="24"/>
          <w:szCs w:val="24"/>
        </w:rPr>
        <w:t xml:space="preserve">The theoretical distinction between the two methods is well-documented. SHAP is grounded in cooperative game theory: it assigns each </w:t>
      </w:r>
      <w:r>
        <w:rPr>
          <w:rFonts w:ascii="Times New Roman" w:hAnsi="Times New Roman" w:eastAsia="Times New Roman" w:cs="Times New Roman"/>
          <w:sz w:val="24"/>
          <w:szCs w:val="24"/>
        </w:rPr>
        <w:t xml:space="preserve">feature the Shapley value (Shapley, 1953), which is the unique allocation satisfying four axiomatic properties: Efficiency, Symmetry, Dummy, and Additivity. LIME, by contrast, uses a heuristic local linear approximation with no such uniqueness guarantees,</w:t>
      </w:r>
      <w:r>
        <w:rPr>
          <w:rFonts w:ascii="Times New Roman" w:hAnsi="Times New Roman" w:eastAsia="Times New Roman" w:cs="Times New Roman"/>
          <w:sz w:val="24"/>
          <w:szCs w:val="24"/>
        </w:rPr>
        <w:t xml:space="preserve"> and its results depend on random sampling of perturbations. Lundberg and Lee (2017) proved that LIME recovers SHAP values only under a specific, non-default kernel configuration; in standard use, the two methods can produce different attribution rankings.</w:t>
      </w:r>
      <w:r/>
    </w:p>
    <w:p>
      <w:pPr>
        <w:pBdr/>
        <w:spacing w:after="160" w:line="276" w:lineRule="auto"/>
        <w:ind/>
        <w:jc w:val="both"/>
        <w:rPr/>
      </w:pPr>
      <w:r>
        <w:rPr>
          <w:rFonts w:ascii="Times New Roman" w:hAnsi="Times New Roman" w:eastAsia="Times New Roman" w:cs="Times New Roman"/>
          <w:sz w:val="24"/>
          <w:szCs w:val="24"/>
        </w:rPr>
        <w:t xml:space="preserve">Despite this theoretical clarity, empirical comparisons of SHAP and LIME on structured tabular regression tasks remain relati</w:t>
      </w:r>
      <w:r>
        <w:rPr>
          <w:rFonts w:ascii="Times New Roman" w:hAnsi="Times New Roman" w:eastAsia="Times New Roman" w:cs="Times New Roman"/>
          <w:sz w:val="24"/>
          <w:szCs w:val="24"/>
        </w:rPr>
        <w:t xml:space="preserve">vely sparse in the pedagogical literature. This paper addresses that gap with a structured experiment using the well-understood California Housing dataset, testing three concrete hypotheses about feature attribution, model complexity, and method agreement.</w:t>
      </w:r>
      <w:r/>
    </w:p>
    <w:p>
      <w:pPr>
        <w:pBdr/>
        <w:spacing w:after="60"/>
        <w:ind/>
        <w:rPr/>
      </w:pPr>
      <w:r/>
      <w:r/>
    </w:p>
    <w:p>
      <w:pPr>
        <w:pBdr/>
        <w:spacing w:after="160" w:line="276" w:lineRule="auto"/>
        <w:ind/>
        <w:jc w:val="both"/>
        <w:rPr/>
      </w:pPr>
      <w:r>
        <w:rPr>
          <w:rFonts w:ascii="Times New Roman" w:hAnsi="Times New Roman" w:eastAsia="Times New Roman" w:cs="Times New Roman"/>
          <w:b/>
          <w:bCs/>
          <w:sz w:val="24"/>
          <w:szCs w:val="24"/>
        </w:rPr>
        <w:t xml:space="preserve">Research questions: </w:t>
      </w:r>
      <w:r>
        <w:rPr>
          <w:rFonts w:ascii="Times New Roman" w:hAnsi="Times New Roman" w:eastAsia="Times New Roman" w:cs="Times New Roman"/>
          <w:sz w:val="24"/>
          <w:szCs w:val="24"/>
        </w:rPr>
        <w:t xml:space="preserve">(1) Does SHAP correctly identify median household income as the dominant predictor of California house price</w:t>
      </w:r>
      <w:r>
        <w:rPr>
          <w:rFonts w:ascii="Times New Roman" w:hAnsi="Times New Roman" w:eastAsia="Times New Roman" w:cs="Times New Roman"/>
          <w:sz w:val="24"/>
          <w:szCs w:val="24"/>
        </w:rPr>
        <w:t xml:space="preserve">s? (2) Do SHAP attributions for geographic features exhibit the spatial clustering expected from domain knowledge? (3) Does the non-linearity captured by a Random Forest produce measurably different SHAP and LIME attributions compared to a linear baseline?</w:t>
      </w:r>
      <w:r/>
    </w:p>
    <w:p>
      <w:pPr>
        <w:pBdr/>
        <w:spacing w:after="60"/>
        <w:ind/>
        <w:rPr/>
      </w:pPr>
      <w:r/>
      <w:r/>
    </w:p>
    <w:p>
      <w:pPr>
        <w:pStyle w:val="744"/>
        <w:pBdr/>
        <w:spacing/>
        <w:ind/>
        <w:rPr/>
      </w:pPr>
      <w:r>
        <w:t xml:space="preserve">2. Related Work</w:t>
      </w:r>
      <w:r/>
    </w:p>
    <w:p>
      <w:pPr>
        <w:pStyle w:val="745"/>
        <w:pBdr/>
        <w:spacing/>
        <w:ind/>
        <w:rPr/>
      </w:pPr>
      <w:r>
        <w:t xml:space="preserve">2.1 Shapley Values and the SHAP Framework</w:t>
      </w:r>
      <w:r/>
    </w:p>
    <w:p>
      <w:pPr>
        <w:pBdr/>
        <w:spacing w:after="160" w:line="276" w:lineRule="auto"/>
        <w:ind/>
        <w:jc w:val="both"/>
        <w:rPr/>
      </w:pPr>
      <w:r>
        <w:rPr>
          <w:rFonts w:ascii="Times New Roman" w:hAnsi="Times New Roman" w:eastAsia="Times New Roman" w:cs="Times New Roman"/>
          <w:sz w:val="24"/>
          <w:szCs w:val="24"/>
        </w:rPr>
        <w:t xml:space="preserve">The Shapley value was introduced by Shapley (1953) as a solution concept in cooperative g</w:t>
      </w:r>
      <w:r>
        <w:rPr>
          <w:rFonts w:ascii="Times New Roman" w:hAnsi="Times New Roman" w:eastAsia="Times New Roman" w:cs="Times New Roman"/>
          <w:sz w:val="24"/>
          <w:szCs w:val="24"/>
        </w:rPr>
        <w:t xml:space="preserve">ame theory. Given a game with n players and a characteristic function v(S) specifying the worth of each coalition S, the Shapley value φᵢ of player i is the unique allocation satisfying Efficiency (values sum to the total payoff), Symmetry (equivalent play</w:t>
      </w:r>
      <w:r>
        <w:rPr>
          <w:rFonts w:ascii="Times New Roman" w:hAnsi="Times New Roman" w:eastAsia="Times New Roman" w:cs="Times New Roman"/>
          <w:sz w:val="24"/>
          <w:szCs w:val="24"/>
        </w:rPr>
        <w:t xml:space="preserve">ers receive equal values), Dummy (non-contributing players receive zero), and Additivity (values add across independent games). The explicit formula averages player i’s marginal contribution v(S∪{i}) − v(S) over all possible orderings of the other players.</w:t>
      </w:r>
      <w:r/>
    </w:p>
    <w:p>
      <w:pPr>
        <w:pBdr/>
        <w:spacing w:after="160" w:line="276" w:lineRule="auto"/>
        <w:ind/>
        <w:jc w:val="both"/>
        <w:rPr/>
      </w:pPr>
      <w:r>
        <w:rPr>
          <w:rFonts w:ascii="Times New Roman" w:hAnsi="Times New Roman" w:eastAsia="Times New Roman" w:cs="Times New Roman"/>
          <w:sz w:val="24"/>
          <w:szCs w:val="24"/>
        </w:rPr>
        <w:t xml:space="preserve">Lundberg and Lee (2017) applied this framework to machine learning by identifying features as players and </w:t>
      </w:r>
      <w:r>
        <w:rPr>
          <w:rFonts w:ascii="Times New Roman" w:hAnsi="Times New Roman" w:eastAsia="Times New Roman" w:cs="Times New Roman"/>
          <w:sz w:val="24"/>
          <w:szCs w:val="24"/>
        </w:rPr>
        <w:t xml:space="preserve">the model’s conditional expectation function as the characteristic function. They showed that the class of additive feature attribution methods, methods expressing f(x) as a baseline plus a sum of feature contributions, has a unique member satisfying Loc</w:t>
      </w:r>
      <w:r>
        <w:rPr>
          <w:rFonts w:ascii="Times New Roman" w:hAnsi="Times New Roman" w:eastAsia="Times New Roman" w:cs="Times New Roman"/>
          <w:sz w:val="24"/>
          <w:szCs w:val="24"/>
        </w:rPr>
        <w:t xml:space="preserve">al Accuracy, Missingness, and Consistency, and that member is the Shapley value. This unification was significant because it demonstrated that six existing methods, including LIME and DeepLIFT, are all special cases or approximations of the same framework.</w:t>
      </w:r>
      <w:r/>
    </w:p>
    <w:p>
      <w:pPr>
        <w:pBdr/>
        <w:spacing w:after="160" w:line="276" w:lineRule="auto"/>
        <w:ind/>
        <w:jc w:val="both"/>
        <w:rPr/>
      </w:pPr>
      <w:r>
        <w:rPr>
          <w:rFonts w:ascii="Times New Roman" w:hAnsi="Times New Roman" w:eastAsia="Times New Roman" w:cs="Times New Roman"/>
          <w:sz w:val="24"/>
          <w:szCs w:val="24"/>
        </w:rPr>
        <w:t xml:space="preserve">Lundberg et al. (2020) extended SHAP to tree-based mo</w:t>
      </w:r>
      <w:r>
        <w:rPr>
          <w:rFonts w:ascii="Times New Roman" w:hAnsi="Times New Roman" w:eastAsia="Times New Roman" w:cs="Times New Roman"/>
          <w:sz w:val="24"/>
          <w:szCs w:val="24"/>
        </w:rPr>
        <w:t xml:space="preserve">dels with TreeSHAP, an algorithm that computes exact Shapley values in polynomial time O(TLD²) by exploiting the recursive structure of decision trees. This made SHAP practically viable for large ensembles such as Random Forests and gradient boosted trees.</w:t>
      </w:r>
      <w:r/>
    </w:p>
    <w:p>
      <w:pPr>
        <w:pStyle w:val="745"/>
        <w:pBdr/>
        <w:spacing/>
        <w:ind/>
        <w:rPr/>
      </w:pPr>
      <w:r>
        <w:t xml:space="preserve">2.2 LIME</w:t>
      </w:r>
      <w:r/>
    </w:p>
    <w:p>
      <w:pPr>
        <w:pBdr/>
        <w:spacing w:after="160" w:line="276" w:lineRule="auto"/>
        <w:ind/>
        <w:jc w:val="both"/>
        <w:rPr/>
      </w:pPr>
      <w:r>
        <w:rPr>
          <w:rFonts w:ascii="Times New Roman" w:hAnsi="Times New Roman" w:eastAsia="Times New Roman" w:cs="Times New Roman"/>
          <w:sz w:val="24"/>
          <w:szCs w:val="24"/>
        </w:rPr>
        <w:t xml:space="preserve">LIME (Ribeiro et al., 2016) generates an explanation by sampling perturbed variants of an input instance, querying the black-box</w:t>
      </w:r>
      <w:r>
        <w:rPr>
          <w:rFonts w:ascii="Times New Roman" w:hAnsi="Times New Roman" w:eastAsia="Times New Roman" w:cs="Times New Roman"/>
          <w:sz w:val="24"/>
          <w:szCs w:val="24"/>
        </w:rPr>
        <w:t xml:space="preserve"> model for predictions on those variants, and fitting a weighted linear model to the results. The coefficients of that local linear model constitute the feature importances. LIME is fully model-agnostic and conceptually simple, but it has two well-document</w:t>
      </w:r>
      <w:r>
        <w:rPr>
          <w:rFonts w:ascii="Times New Roman" w:hAnsi="Times New Roman" w:eastAsia="Times New Roman" w:cs="Times New Roman"/>
          <w:sz w:val="24"/>
          <w:szCs w:val="24"/>
        </w:rPr>
        <w:t xml:space="preserve">ed limitations: the results depend on the random sampling of perturbations, meaning repeated runs on the same instance can yield different attributions; and the locally weighted linear approximation may be a poor fit for models with strong non-linearities.</w:t>
      </w:r>
      <w:r/>
    </w:p>
    <w:p>
      <w:pPr>
        <w:pBdr/>
        <w:spacing w:after="160" w:line="276" w:lineRule="auto"/>
        <w:ind/>
        <w:jc w:val="both"/>
        <w:rPr/>
      </w:pPr>
      <w:r>
        <w:rPr>
          <w:rFonts w:ascii="Times New Roman" w:hAnsi="Times New Roman" w:eastAsia="Times New Roman" w:cs="Times New Roman"/>
          <w:sz w:val="24"/>
          <w:szCs w:val="24"/>
        </w:rPr>
        <w:t xml:space="preserve">Visani et al. (2022) quantified LIME’s instability us</w:t>
      </w:r>
      <w:r>
        <w:rPr>
          <w:rFonts w:ascii="Times New Roman" w:hAnsi="Times New Roman" w:eastAsia="Times New Roman" w:cs="Times New Roman"/>
          <w:sz w:val="24"/>
          <w:szCs w:val="24"/>
        </w:rPr>
        <w:t xml:space="preserve">ing statistical indices and found that SHAP explanations were significantly more reproducible. Lundberg and Lee (2017) showed that LIME with a SHAP kernel converges to the correct Shapley values, but the default LIME configuration does not use this kernel.</w:t>
      </w:r>
      <w:r/>
    </w:p>
    <w:p>
      <w:pPr>
        <w:pStyle w:val="745"/>
        <w:pBdr/>
        <w:spacing/>
        <w:ind/>
        <w:rPr/>
      </w:pPr>
      <w:r>
        <w:t xml:space="preserve">2.3 SHAP Applied to Housing Data</w:t>
      </w:r>
      <w:r/>
    </w:p>
    <w:p>
      <w:pPr>
        <w:pBdr/>
        <w:spacing w:after="160" w:line="276" w:lineRule="auto"/>
        <w:ind/>
        <w:jc w:val="both"/>
        <w:rPr/>
      </w:pPr>
      <w:r>
        <w:rPr>
          <w:rFonts w:ascii="Times New Roman" w:hAnsi="Times New Roman" w:eastAsia="Times New Roman" w:cs="Times New Roman"/>
          <w:sz w:val="24"/>
          <w:szCs w:val="24"/>
        </w:rPr>
        <w:t xml:space="preserve">Housing price datasets have been widely used to demonstrate SHAP in practice. The orig</w:t>
      </w:r>
      <w:r>
        <w:rPr>
          <w:rFonts w:ascii="Times New Roman" w:hAnsi="Times New Roman" w:eastAsia="Times New Roman" w:cs="Times New Roman"/>
          <w:sz w:val="24"/>
          <w:szCs w:val="24"/>
        </w:rPr>
        <w:t xml:space="preserve">inal SHAP documentation (Lundberg, 2018) includes demonstrations on the Boston Housing dataset showing that income-related features dominate attributions, a finding consistent with socioeconomic research. The California Housing dataset, which this paper u</w:t>
      </w:r>
      <w:r>
        <w:rPr>
          <w:rFonts w:ascii="Times New Roman" w:hAnsi="Times New Roman" w:eastAsia="Times New Roman" w:cs="Times New Roman"/>
          <w:sz w:val="24"/>
          <w:szCs w:val="24"/>
        </w:rPr>
        <w:t xml:space="preserve">ses, has appeared in numerous interpretability tutorials and course materials. A consistent finding across these demonstrations is that MedInc (median household income) ranks as the top SHAP feature, establishing a baseline expectation for this experiment.</w:t>
      </w:r>
      <w:r/>
    </w:p>
    <w:p>
      <w:pPr>
        <w:pBdr/>
        <w:spacing w:after="160" w:line="276" w:lineRule="auto"/>
        <w:ind/>
        <w:jc w:val="both"/>
        <w:rPr/>
      </w:pPr>
      <w:r>
        <w:rPr>
          <w:rFonts w:ascii="Times New Roman" w:hAnsi="Times New Roman" w:eastAsia="Times New Roman" w:cs="Times New Roman"/>
          <w:sz w:val="24"/>
          <w:szCs w:val="24"/>
        </w:rPr>
        <w:t xml:space="preserve">No published work was identified that performs a structured three-way comparison of LinearSHAP, TreeSHAP, and LIME on the California Housing dataset with explicit hypothesis testing, which motivates the experimental design of this paper.</w:t>
      </w:r>
      <w:r/>
    </w:p>
    <w:p>
      <w:pPr>
        <w:pBdr/>
        <w:spacing w:after="60"/>
        <w:ind/>
        <w:rPr/>
      </w:pPr>
      <w:r/>
      <w:r/>
    </w:p>
    <w:p>
      <w:pPr>
        <w:pStyle w:val="744"/>
        <w:pBdr/>
        <w:spacing/>
        <w:ind/>
        <w:rPr/>
      </w:pPr>
      <w:r>
        <w:t xml:space="preserve">3. Methodology</w:t>
      </w:r>
      <w:r/>
    </w:p>
    <w:p>
      <w:pPr>
        <w:pStyle w:val="745"/>
        <w:pBdr/>
        <w:spacing/>
        <w:ind/>
        <w:rPr/>
      </w:pPr>
      <w:r>
        <w:t xml:space="preserve">3.1 Dataset</w:t>
      </w:r>
      <w:r/>
    </w:p>
    <w:p>
      <w:pPr>
        <w:pBdr/>
        <w:spacing w:after="160" w:line="276" w:lineRule="auto"/>
        <w:ind/>
        <w:jc w:val="both"/>
        <w:rPr/>
      </w:pPr>
      <w:r>
        <w:rPr>
          <w:rFonts w:ascii="Times New Roman" w:hAnsi="Times New Roman" w:eastAsia="Times New Roman" w:cs="Times New Roman"/>
          <w:sz w:val="24"/>
          <w:szCs w:val="24"/>
        </w:rPr>
        <w:t xml:space="preserve">The California Housing dataset (Harrison &amp; Rubinfeld, 1978, as distributed by scikit-learn) contains 20,640 observations representing census block groups from the 1990 California censu</w:t>
      </w:r>
      <w:r>
        <w:rPr>
          <w:rFonts w:ascii="Times New Roman" w:hAnsi="Times New Roman" w:eastAsia="Times New Roman" w:cs="Times New Roman"/>
          <w:sz w:val="24"/>
          <w:szCs w:val="24"/>
        </w:rPr>
        <w:t xml:space="preserve">s. Each observation has eight features: MedInc (median household income), HouseAge (median house age), AveRooms (average rooms per household), AveBedrms (average bedrooms per household), Population (block population), AveOccup (average household occupancy)</w:t>
      </w:r>
      <w:r>
        <w:rPr>
          <w:rFonts w:ascii="Times New Roman" w:hAnsi="Times New Roman" w:eastAsia="Times New Roman" w:cs="Times New Roman"/>
          <w:sz w:val="24"/>
          <w:szCs w:val="24"/>
        </w:rPr>
        <w:t xml:space="preserve">, Latitude, and Longitude. The target variable is MedHouseVal, the median house value in units of $100,000, clipped at 5.0 ($500,000). The dataset was split 80/20 into training (16,512 samples) and test (4,128 samples) sets using a fixed random seed of 42.</w:t>
      </w:r>
      <w:r/>
    </w:p>
    <w:p>
      <w:pPr>
        <w:pStyle w:val="745"/>
        <w:pBdr/>
        <w:spacing/>
        <w:ind/>
        <w:rPr/>
      </w:pPr>
      <w:r>
        <w:t xml:space="preserve">3.2 Models</w:t>
      </w:r>
      <w:r/>
    </w:p>
    <w:p>
      <w:pPr>
        <w:pBdr/>
        <w:spacing w:after="160" w:line="276" w:lineRule="auto"/>
        <w:ind/>
        <w:jc w:val="both"/>
        <w:rPr/>
      </w:pPr>
      <w:r>
        <w:rPr>
          <w:rFonts w:ascii="Times New Roman" w:hAnsi="Times New Roman" w:eastAsia="Times New Roman" w:cs="Times New Roman"/>
          <w:sz w:val="24"/>
          <w:szCs w:val="24"/>
        </w:rPr>
        <w:t xml:space="preserve">Two models were trained. First, a standard Ordinary Least Squares Linear Regression with features standardised to zero mean and unit variance. This model serves</w:t>
      </w:r>
      <w:r>
        <w:rPr>
          <w:rFonts w:ascii="Times New Roman" w:hAnsi="Times New Roman" w:eastAsia="Times New Roman" w:cs="Times New Roman"/>
          <w:sz w:val="24"/>
          <w:szCs w:val="24"/>
        </w:rPr>
        <w:t xml:space="preserve"> as a low-complexity baseline whose attributions can be directly compared against its own coefficients, providing a sanity check for LinearSHAP. Second, a Random Forest regressor with 200 fully-grown trees trained on raw (unscaled) feature values. Random F</w:t>
      </w:r>
      <w:r>
        <w:rPr>
          <w:rFonts w:ascii="Times New Roman" w:hAnsi="Times New Roman" w:eastAsia="Times New Roman" w:cs="Times New Roman"/>
          <w:sz w:val="24"/>
          <w:szCs w:val="24"/>
        </w:rPr>
        <w:t xml:space="preserve">orest was selected over gradient boosted alternatives because of its conceptual simplicity, predictions are averages of independent trees rather than sequential corrections, making its SHAP values easier to interpret in terms of the underlying structure.</w:t>
      </w:r>
      <w:r/>
    </w:p>
    <w:p>
      <w:pPr>
        <w:pStyle w:val="745"/>
        <w:pBdr/>
        <w:spacing/>
        <w:ind/>
        <w:rPr/>
      </w:pPr>
      <w:r>
        <w:t xml:space="preserve">3.3 Explanation Methods</w:t>
      </w:r>
      <w:r/>
    </w:p>
    <w:p>
      <w:pPr>
        <w:pBdr/>
        <w:spacing w:after="160" w:line="276" w:lineRule="auto"/>
        <w:ind/>
        <w:jc w:val="both"/>
        <w:rPr/>
      </w:pPr>
      <w:r>
        <w:rPr>
          <w:rFonts w:ascii="Times New Roman" w:hAnsi="Times New Roman" w:eastAsia="Times New Roman" w:cs="Times New Roman"/>
          <w:sz w:val="24"/>
          <w:szCs w:val="24"/>
        </w:rPr>
        <w:t xml:space="preserve">Three explanation methods were applied. LinearSHAP (Lundberg &amp; Lee, 2017) computes exact Shapley values for linear models from a closed-form expression involving model weights and a feature masker that accounts for correlations in the t</w:t>
      </w:r>
      <w:r>
        <w:rPr>
          <w:rFonts w:ascii="Times New Roman" w:hAnsi="Times New Roman" w:eastAsia="Times New Roman" w:cs="Times New Roman"/>
          <w:sz w:val="24"/>
          <w:szCs w:val="24"/>
        </w:rPr>
        <w:t xml:space="preserve">raining data. TreeSHAP (Lundberg et al., 2020) computes exact Shapley values for the Random Forest by recursively propagating conditional expectations through the tree structure. LIME (Ribeiro et al., 2016) was applied to both models using LimeTabularExpla</w:t>
      </w:r>
      <w:r>
        <w:rPr>
          <w:rFonts w:ascii="Times New Roman" w:hAnsi="Times New Roman" w:eastAsia="Times New Roman" w:cs="Times New Roman"/>
          <w:sz w:val="24"/>
          <w:szCs w:val="24"/>
        </w:rPr>
        <w:t xml:space="preserve">iner with 1,000 perturbation samples per explanation. All SHAP values were computed on the full test set (4,128 samples). LIME was computed on the first 50 test samples due to computational cost, and a three-seed stability test was conducted on 10 samples.</w:t>
      </w:r>
      <w:r/>
    </w:p>
    <w:p>
      <w:pPr>
        <w:pStyle w:val="745"/>
        <w:pBdr/>
        <w:spacing/>
        <w:ind/>
        <w:rPr/>
      </w:pPr>
      <w:r>
        <w:t xml:space="preserve">3.4 Hypotheses and Evaluation</w:t>
      </w:r>
      <w:r/>
    </w:p>
    <w:tbl>
      <w:tblPr>
        <w:tblW w:w="93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00"/>
        <w:gridCol w:w="4360"/>
        <w:gridCol w:w="2760"/>
      </w:tblGrid>
      <w:tr>
        <w:trPr>
          <w:tblHeader/>
        </w:trPr>
        <w:tc>
          <w:tcPr>
            <w:shd w:val="clear" w:color="auto" w:fill="1b2a4a"/>
            <w:tcBorders>
              <w:top w:val="single" w:color="cccccc" w:sz="1" w:space="0"/>
              <w:left w:val="single" w:color="cccccc" w:sz="1" w:space="0"/>
              <w:bottom w:val="single" w:color="cccccc" w:sz="1" w:space="0"/>
              <w:right w:val="single" w:color="cccccc" w:sz="1" w:space="0"/>
            </w:tcBorders>
            <w:tcMar>
              <w:left w:w="120" w:type="dxa"/>
              <w:top w:w="80" w:type="dxa"/>
              <w:right w:w="120" w:type="dxa"/>
              <w:bottom w:w="80" w:type="dxa"/>
            </w:tcMar>
            <w:tcW w:w="2200" w:type="dxa"/>
            <w:vAlign w:val="center"/>
          </w:tcPr>
          <w:p>
            <w:pPr>
              <w:pBdr/>
              <w:spacing w:after="0"/>
              <w:ind/>
              <w:jc w:val="left"/>
              <w:rPr/>
            </w:pPr>
            <w:r>
              <w:rPr>
                <w:rFonts w:ascii="Arial" w:hAnsi="Arial" w:eastAsia="Arial" w:cs="Arial"/>
                <w:b/>
                <w:bCs/>
                <w:color w:val="ffffff"/>
                <w:sz w:val="20"/>
                <w:szCs w:val="20"/>
              </w:rPr>
              <w:t xml:space="preserve">Hypothesis</w:t>
            </w:r>
            <w:r/>
          </w:p>
        </w:tc>
        <w:tc>
          <w:tcPr>
            <w:shd w:val="clear" w:color="auto" w:fill="1b2a4a"/>
            <w:tcBorders>
              <w:top w:val="single" w:color="cccccc" w:sz="1" w:space="0"/>
              <w:left w:val="single" w:color="cccccc" w:sz="1" w:space="0"/>
              <w:bottom w:val="single" w:color="cccccc" w:sz="1" w:space="0"/>
              <w:right w:val="single" w:color="cccccc" w:sz="1" w:space="0"/>
            </w:tcBorders>
            <w:tcMar>
              <w:left w:w="120" w:type="dxa"/>
              <w:top w:w="80" w:type="dxa"/>
              <w:right w:w="120" w:type="dxa"/>
              <w:bottom w:w="80" w:type="dxa"/>
            </w:tcMar>
            <w:tcW w:w="4360" w:type="dxa"/>
            <w:vAlign w:val="center"/>
          </w:tcPr>
          <w:p>
            <w:pPr>
              <w:pBdr/>
              <w:spacing w:after="0"/>
              <w:ind/>
              <w:jc w:val="left"/>
              <w:rPr/>
            </w:pPr>
            <w:r>
              <w:rPr>
                <w:rFonts w:ascii="Arial" w:hAnsi="Arial" w:eastAsia="Arial" w:cs="Arial"/>
                <w:b/>
                <w:bCs/>
                <w:color w:val="ffffff"/>
                <w:sz w:val="20"/>
                <w:szCs w:val="20"/>
              </w:rPr>
              <w:t xml:space="preserve">Claim</w:t>
            </w:r>
            <w:r/>
          </w:p>
        </w:tc>
        <w:tc>
          <w:tcPr>
            <w:shd w:val="clear" w:color="auto" w:fill="1b2a4a"/>
            <w:tcBorders>
              <w:top w:val="single" w:color="cccccc" w:sz="1" w:space="0"/>
              <w:left w:val="single" w:color="cccccc" w:sz="1" w:space="0"/>
              <w:bottom w:val="single" w:color="cccccc" w:sz="1" w:space="0"/>
              <w:right w:val="single" w:color="cccccc" w:sz="1" w:space="0"/>
            </w:tcBorders>
            <w:tcMar>
              <w:left w:w="120" w:type="dxa"/>
              <w:top w:w="80" w:type="dxa"/>
              <w:right w:w="120" w:type="dxa"/>
              <w:bottom w:w="80" w:type="dxa"/>
            </w:tcMar>
            <w:tcW w:w="2760" w:type="dxa"/>
            <w:vAlign w:val="center"/>
          </w:tcPr>
          <w:p>
            <w:pPr>
              <w:pBdr/>
              <w:spacing w:after="0"/>
              <w:ind/>
              <w:jc w:val="left"/>
              <w:rPr/>
            </w:pPr>
            <w:r>
              <w:rPr>
                <w:rFonts w:ascii="Arial" w:hAnsi="Arial" w:eastAsia="Arial" w:cs="Arial"/>
                <w:b/>
                <w:bCs/>
                <w:color w:val="ffffff"/>
                <w:sz w:val="20"/>
                <w:szCs w:val="20"/>
              </w:rPr>
              <w:t xml:space="preserve">Evaluation measure</w:t>
            </w:r>
            <w:r/>
          </w:p>
        </w:tc>
      </w:tr>
      <w:tr>
        <w:trPr/>
        <w:tc>
          <w:tcPr>
            <w:shd w:val="clear" w:color="auto" w:fill="ffffff"/>
            <w:tcBorders>
              <w:top w:val="single" w:color="cccccc" w:sz="1" w:space="0"/>
              <w:left w:val="single" w:color="cccccc" w:sz="1" w:space="0"/>
              <w:bottom w:val="single" w:color="cccccc" w:sz="1" w:space="0"/>
              <w:right w:val="single" w:color="cccccc" w:sz="1" w:space="0"/>
            </w:tcBorders>
            <w:tcMar>
              <w:left w:w="120" w:type="dxa"/>
              <w:top w:w="80" w:type="dxa"/>
              <w:right w:w="120" w:type="dxa"/>
              <w:bottom w:w="80" w:type="dxa"/>
            </w:tcMar>
            <w:tcW w:w="2200" w:type="dxa"/>
            <w:vAlign w:val="center"/>
          </w:tcPr>
          <w:p>
            <w:pPr>
              <w:pBdr/>
              <w:spacing w:after="0"/>
              <w:ind/>
              <w:jc w:val="left"/>
              <w:rPr/>
            </w:pPr>
            <w:r>
              <w:rPr>
                <w:rFonts w:ascii="Arial" w:hAnsi="Arial" w:eastAsia="Arial" w:cs="Arial"/>
                <w:b w:val="0"/>
                <w:bCs w:val="0"/>
                <w:color w:val="1a202c"/>
                <w:sz w:val="20"/>
                <w:szCs w:val="20"/>
              </w:rPr>
              <w:t xml:space="preserve">H1 - Income dominance</w:t>
            </w:r>
            <w:r/>
          </w:p>
        </w:tc>
        <w:tc>
          <w:tcPr>
            <w:shd w:val="clear" w:color="auto" w:fill="ffffff"/>
            <w:tcBorders>
              <w:top w:val="single" w:color="cccccc" w:sz="1" w:space="0"/>
              <w:left w:val="single" w:color="cccccc" w:sz="1" w:space="0"/>
              <w:bottom w:val="single" w:color="cccccc" w:sz="1" w:space="0"/>
              <w:right w:val="single" w:color="cccccc" w:sz="1" w:space="0"/>
            </w:tcBorders>
            <w:tcMar>
              <w:left w:w="120" w:type="dxa"/>
              <w:top w:w="80" w:type="dxa"/>
              <w:right w:w="120" w:type="dxa"/>
              <w:bottom w:w="80" w:type="dxa"/>
            </w:tcMar>
            <w:tcW w:w="4360" w:type="dxa"/>
            <w:vAlign w:val="center"/>
          </w:tcPr>
          <w:p>
            <w:pPr>
              <w:pBdr/>
              <w:spacing w:after="0"/>
              <w:ind/>
              <w:jc w:val="left"/>
              <w:rPr/>
            </w:pPr>
            <w:r>
              <w:rPr>
                <w:rFonts w:ascii="Arial" w:hAnsi="Arial" w:eastAsia="Arial" w:cs="Arial"/>
                <w:b w:val="0"/>
                <w:bCs w:val="0"/>
                <w:color w:val="1a202c"/>
                <w:sz w:val="20"/>
                <w:szCs w:val="20"/>
              </w:rPr>
              <w:t xml:space="preserve">MedInc ranks #1 by mean |attribution| in both SHAP and LIME for the Random Forest</w:t>
            </w:r>
            <w:r/>
          </w:p>
        </w:tc>
        <w:tc>
          <w:tcPr>
            <w:shd w:val="clear" w:color="auto" w:fill="ffffff"/>
            <w:tcBorders>
              <w:top w:val="single" w:color="cccccc" w:sz="1" w:space="0"/>
              <w:left w:val="single" w:color="cccccc" w:sz="1" w:space="0"/>
              <w:bottom w:val="single" w:color="cccccc" w:sz="1" w:space="0"/>
              <w:right w:val="single" w:color="cccccc" w:sz="1" w:space="0"/>
            </w:tcBorders>
            <w:tcMar>
              <w:left w:w="120" w:type="dxa"/>
              <w:top w:w="80" w:type="dxa"/>
              <w:right w:w="120" w:type="dxa"/>
              <w:bottom w:w="80" w:type="dxa"/>
            </w:tcMar>
            <w:tcW w:w="2760" w:type="dxa"/>
            <w:vAlign w:val="center"/>
          </w:tcPr>
          <w:p>
            <w:pPr>
              <w:pBdr/>
              <w:spacing w:after="0"/>
              <w:ind/>
              <w:jc w:val="left"/>
              <w:rPr/>
            </w:pPr>
            <w:r>
              <w:rPr>
                <w:rFonts w:ascii="Arial" w:hAnsi="Arial" w:eastAsia="Arial" w:cs="Arial"/>
                <w:b w:val="0"/>
                <w:bCs w:val="0"/>
                <w:color w:val="1a202c"/>
                <w:sz w:val="20"/>
                <w:szCs w:val="20"/>
              </w:rPr>
              <w:t xml:space="preserve">Feature rank tables for TreeSHAP and LIME</w:t>
            </w:r>
            <w:r/>
          </w:p>
        </w:tc>
      </w:tr>
      <w:tr>
        <w:trPr/>
        <w:tc>
          <w:tcPr>
            <w:shd w:val="clear" w:color="auto" w:fill="ffffff"/>
            <w:tcBorders>
              <w:top w:val="single" w:color="cccccc" w:sz="1" w:space="0"/>
              <w:left w:val="single" w:color="cccccc" w:sz="1" w:space="0"/>
              <w:bottom w:val="single" w:color="cccccc" w:sz="1" w:space="0"/>
              <w:right w:val="single" w:color="cccccc" w:sz="1" w:space="0"/>
            </w:tcBorders>
            <w:tcMar>
              <w:left w:w="120" w:type="dxa"/>
              <w:top w:w="80" w:type="dxa"/>
              <w:right w:w="120" w:type="dxa"/>
              <w:bottom w:w="80" w:type="dxa"/>
            </w:tcMar>
            <w:tcW w:w="2200" w:type="dxa"/>
            <w:vAlign w:val="center"/>
          </w:tcPr>
          <w:p>
            <w:pPr>
              <w:pBdr/>
              <w:spacing w:after="0"/>
              <w:ind/>
              <w:jc w:val="left"/>
              <w:rPr/>
            </w:pPr>
            <w:r>
              <w:rPr>
                <w:rFonts w:ascii="Arial" w:hAnsi="Arial" w:eastAsia="Arial" w:cs="Arial"/>
                <w:b w:val="0"/>
                <w:bCs w:val="0"/>
                <w:color w:val="1a202c"/>
                <w:sz w:val="20"/>
                <w:szCs w:val="20"/>
              </w:rPr>
              <w:t xml:space="preserve">H2 - Geographic clustering</w:t>
            </w:r>
            <w:r/>
          </w:p>
        </w:tc>
        <w:tc>
          <w:tcPr>
            <w:shd w:val="clear" w:color="auto" w:fill="ffffff"/>
            <w:tcBorders>
              <w:top w:val="single" w:color="cccccc" w:sz="1" w:space="0"/>
              <w:left w:val="single" w:color="cccccc" w:sz="1" w:space="0"/>
              <w:bottom w:val="single" w:color="cccccc" w:sz="1" w:space="0"/>
              <w:right w:val="single" w:color="cccccc" w:sz="1" w:space="0"/>
            </w:tcBorders>
            <w:tcMar>
              <w:left w:w="120" w:type="dxa"/>
              <w:top w:w="80" w:type="dxa"/>
              <w:right w:w="120" w:type="dxa"/>
              <w:bottom w:w="80" w:type="dxa"/>
            </w:tcMar>
            <w:tcW w:w="4360" w:type="dxa"/>
            <w:vAlign w:val="center"/>
          </w:tcPr>
          <w:p>
            <w:pPr>
              <w:pBdr/>
              <w:spacing w:after="0"/>
              <w:ind/>
              <w:jc w:val="left"/>
              <w:rPr/>
            </w:pPr>
            <w:r>
              <w:rPr>
                <w:rFonts w:ascii="Arial" w:hAnsi="Arial" w:eastAsia="Arial" w:cs="Arial"/>
                <w:b w:val="0"/>
                <w:bCs w:val="0"/>
                <w:color w:val="1a202c"/>
                <w:sz w:val="20"/>
                <w:szCs w:val="20"/>
              </w:rPr>
              <w:t xml:space="preserve">SHAP values for Latitude and Longitude show spatial, non-uniform structure</w:t>
            </w:r>
            <w:r/>
          </w:p>
        </w:tc>
        <w:tc>
          <w:tcPr>
            <w:shd w:val="clear" w:color="auto" w:fill="ffffff"/>
            <w:tcBorders>
              <w:top w:val="single" w:color="cccccc" w:sz="1" w:space="0"/>
              <w:left w:val="single" w:color="cccccc" w:sz="1" w:space="0"/>
              <w:bottom w:val="single" w:color="cccccc" w:sz="1" w:space="0"/>
              <w:right w:val="single" w:color="cccccc" w:sz="1" w:space="0"/>
            </w:tcBorders>
            <w:tcMar>
              <w:left w:w="120" w:type="dxa"/>
              <w:top w:w="80" w:type="dxa"/>
              <w:right w:w="120" w:type="dxa"/>
              <w:bottom w:w="80" w:type="dxa"/>
            </w:tcMar>
            <w:tcW w:w="2760" w:type="dxa"/>
            <w:vAlign w:val="center"/>
          </w:tcPr>
          <w:p>
            <w:pPr>
              <w:pBdr/>
              <w:spacing w:after="0"/>
              <w:ind/>
              <w:jc w:val="left"/>
              <w:rPr/>
            </w:pPr>
            <w:r>
              <w:rPr>
                <w:rFonts w:ascii="Arial" w:hAnsi="Arial" w:eastAsia="Arial" w:cs="Arial"/>
                <w:b w:val="0"/>
                <w:bCs w:val="0"/>
                <w:color w:val="1a202c"/>
                <w:sz w:val="20"/>
                <w:szCs w:val="20"/>
              </w:rPr>
              <w:t xml:space="preserve">Dependence plots for Latitude and Longitude</w:t>
            </w:r>
            <w:r/>
          </w:p>
        </w:tc>
      </w:tr>
      <w:tr>
        <w:trPr/>
        <w:tc>
          <w:tcPr>
            <w:shd w:val="clear" w:color="auto" w:fill="ffffff"/>
            <w:tcBorders>
              <w:top w:val="single" w:color="cccccc" w:sz="1" w:space="0"/>
              <w:left w:val="single" w:color="cccccc" w:sz="1" w:space="0"/>
              <w:bottom w:val="single" w:color="cccccc" w:sz="1" w:space="0"/>
              <w:right w:val="single" w:color="cccccc" w:sz="1" w:space="0"/>
            </w:tcBorders>
            <w:tcMar>
              <w:left w:w="120" w:type="dxa"/>
              <w:top w:w="80" w:type="dxa"/>
              <w:right w:w="120" w:type="dxa"/>
              <w:bottom w:w="80" w:type="dxa"/>
            </w:tcMar>
            <w:tcW w:w="2200" w:type="dxa"/>
            <w:vAlign w:val="center"/>
          </w:tcPr>
          <w:p>
            <w:pPr>
              <w:pBdr/>
              <w:spacing w:after="0"/>
              <w:ind/>
              <w:jc w:val="left"/>
              <w:rPr/>
            </w:pPr>
            <w:r>
              <w:rPr>
                <w:rFonts w:ascii="Arial" w:hAnsi="Arial" w:eastAsia="Arial" w:cs="Arial"/>
                <w:b w:val="0"/>
                <w:bCs w:val="0"/>
                <w:color w:val="1a202c"/>
                <w:sz w:val="20"/>
                <w:szCs w:val="20"/>
              </w:rPr>
              <w:t xml:space="preserve">H3 - Non-linearity matters</w:t>
            </w:r>
            <w:r/>
          </w:p>
        </w:tc>
        <w:tc>
          <w:tcPr>
            <w:shd w:val="clear" w:color="auto" w:fill="ffffff"/>
            <w:tcBorders>
              <w:top w:val="single" w:color="cccccc" w:sz="1" w:space="0"/>
              <w:left w:val="single" w:color="cccccc" w:sz="1" w:space="0"/>
              <w:bottom w:val="single" w:color="cccccc" w:sz="1" w:space="0"/>
              <w:right w:val="single" w:color="cccccc" w:sz="1" w:space="0"/>
            </w:tcBorders>
            <w:tcMar>
              <w:left w:w="120" w:type="dxa"/>
              <w:top w:w="80" w:type="dxa"/>
              <w:right w:w="120" w:type="dxa"/>
              <w:bottom w:w="80" w:type="dxa"/>
            </w:tcMar>
            <w:tcW w:w="4360" w:type="dxa"/>
            <w:vAlign w:val="center"/>
          </w:tcPr>
          <w:p>
            <w:pPr>
              <w:pBdr/>
              <w:spacing w:after="0"/>
              <w:ind/>
              <w:jc w:val="left"/>
              <w:rPr/>
            </w:pPr>
            <w:r>
              <w:rPr>
                <w:rFonts w:ascii="Arial" w:hAnsi="Arial" w:eastAsia="Arial" w:cs="Arial"/>
                <w:b w:val="0"/>
                <w:bCs w:val="0"/>
                <w:color w:val="1a202c"/>
                <w:sz w:val="20"/>
                <w:szCs w:val="20"/>
              </w:rPr>
              <w:t xml:space="preserve">RF substantially outperforms LR, TreeSHAP and LIME produce divergent attributions for the RF</w:t>
            </w:r>
            <w:r/>
          </w:p>
        </w:tc>
        <w:tc>
          <w:tcPr>
            <w:shd w:val="clear" w:color="auto" w:fill="ffffff"/>
            <w:tcBorders>
              <w:top w:val="single" w:color="cccccc" w:sz="1" w:space="0"/>
              <w:left w:val="single" w:color="cccccc" w:sz="1" w:space="0"/>
              <w:bottom w:val="single" w:color="cccccc" w:sz="1" w:space="0"/>
              <w:right w:val="single" w:color="cccccc" w:sz="1" w:space="0"/>
            </w:tcBorders>
            <w:tcMar>
              <w:left w:w="120" w:type="dxa"/>
              <w:top w:w="80" w:type="dxa"/>
              <w:right w:w="120" w:type="dxa"/>
              <w:bottom w:w="80" w:type="dxa"/>
            </w:tcMar>
            <w:tcW w:w="2760" w:type="dxa"/>
            <w:vAlign w:val="center"/>
          </w:tcPr>
          <w:p>
            <w:pPr>
              <w:pBdr/>
              <w:spacing w:after="0"/>
              <w:ind/>
              <w:jc w:val="center"/>
              <w:rPr/>
            </w:pPr>
            <w:r>
              <w:rPr>
                <w:rFonts w:ascii="Arial" w:hAnsi="Arial" w:eastAsia="Arial" w:cs="Arial"/>
                <w:b w:val="0"/>
                <w:bCs w:val="0"/>
                <w:color w:val="1a202c"/>
                <w:sz w:val="20"/>
                <w:szCs w:val="20"/>
              </w:rPr>
              <w:t xml:space="preserve">R² / RMSE comparison; Spearman rank correlation between TreeSHAP and LIME attributions</w:t>
            </w:r>
            <w:r/>
          </w:p>
        </w:tc>
      </w:tr>
    </w:tbl>
    <w:p>
      <w:pPr>
        <w:pBdr/>
        <w:spacing w:after="60"/>
        <w:ind/>
        <w:rPr/>
      </w:pPr>
      <w:r/>
      <w:r/>
    </w:p>
    <w:p>
      <w:pPr>
        <w:pBdr/>
        <w:spacing w:after="60"/>
        <w:ind/>
        <w:rPr/>
      </w:pPr>
      <w:r/>
      <w:r/>
    </w:p>
    <w:p>
      <w:pPr>
        <w:pStyle w:val="744"/>
        <w:pBdr/>
        <w:spacing/>
        <w:ind/>
        <w:rPr/>
      </w:pPr>
      <w:r>
        <w:t xml:space="preserve">4. Results</w:t>
      </w:r>
      <w:r/>
    </w:p>
    <w:p>
      <w:pPr>
        <w:pStyle w:val="745"/>
        <w:pBdr/>
        <w:spacing/>
        <w:ind/>
        <w:rPr/>
      </w:pPr>
      <w:r>
        <w:t xml:space="preserve">4.1 Model Performance</w:t>
      </w:r>
      <w:r/>
    </w:p>
    <w:p>
      <w:pPr>
        <w:pBdr/>
        <w:spacing w:after="160" w:line="276" w:lineRule="auto"/>
        <w:ind/>
        <w:jc w:val="both"/>
        <w:rPr/>
      </w:pPr>
      <w:r>
        <w:rPr>
          <w:rFonts w:ascii="Times New Roman" w:hAnsi="Times New Roman" w:eastAsia="Times New Roman" w:cs="Times New Roman"/>
          <w:sz w:val="24"/>
          <w:szCs w:val="24"/>
        </w:rPr>
        <w:t xml:space="preserve">Table 2 reports predictive performance on the held-out test set. Linear Regression achieved an R² of 0.5758 and an RMSE of 0.7456 (in $100,000 units), meaning the model explains approximately 57.6% of the variance in house prices. The Rando</w:t>
      </w:r>
      <w:r>
        <w:rPr>
          <w:rFonts w:ascii="Times New Roman" w:hAnsi="Times New Roman" w:eastAsia="Times New Roman" w:cs="Times New Roman"/>
          <w:sz w:val="24"/>
          <w:szCs w:val="24"/>
        </w:rPr>
        <w:t xml:space="preserve">m Forest achieved an R² of 0.8062 and an RMSE of 0.5040, a 40.0% relative improvement in R². This performance gap is consistent with the presence of substantial non-linear structure and feature interactions in the data that a linear model cannot represent.</w:t>
      </w:r>
      <w:r/>
    </w:p>
    <w:p>
      <w:pPr>
        <w:pBdr/>
        <w:spacing w:after="60"/>
        <w:ind/>
        <w:rPr/>
      </w:pPr>
      <w:r/>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00"/>
        <w:gridCol w:w="2000"/>
        <w:gridCol w:w="2000"/>
        <w:gridCol w:w="2360"/>
      </w:tblGrid>
      <w:tr>
        <w:trPr>
          <w:tblHeader/>
        </w:trPr>
        <w:tc>
          <w:tcPr>
            <w:shd w:val="clear" w:color="auto" w:fill="1b2a4a"/>
            <w:tcBorders>
              <w:top w:val="single" w:color="cccccc" w:sz="1" w:space="0"/>
              <w:left w:val="single" w:color="cccccc" w:sz="1" w:space="0"/>
              <w:bottom w:val="single" w:color="cccccc" w:sz="1" w:space="0"/>
              <w:right w:val="single" w:color="cccccc" w:sz="1" w:space="0"/>
            </w:tcBorders>
            <w:tcMar>
              <w:left w:w="120" w:type="dxa"/>
              <w:top w:w="80" w:type="dxa"/>
              <w:right w:w="120" w:type="dxa"/>
              <w:bottom w:w="80" w:type="dxa"/>
            </w:tcMar>
            <w:tcW w:w="3000" w:type="dxa"/>
            <w:vAlign w:val="center"/>
          </w:tcPr>
          <w:p>
            <w:pPr>
              <w:pBdr/>
              <w:spacing w:after="0"/>
              <w:ind/>
              <w:jc w:val="left"/>
              <w:rPr/>
            </w:pPr>
            <w:r>
              <w:rPr>
                <w:rFonts w:ascii="Arial" w:hAnsi="Arial" w:eastAsia="Arial" w:cs="Arial"/>
                <w:b/>
                <w:bCs/>
                <w:color w:val="ffffff"/>
                <w:sz w:val="20"/>
                <w:szCs w:val="20"/>
              </w:rPr>
              <w:t xml:space="preserve">Model</w:t>
            </w:r>
            <w:r/>
          </w:p>
        </w:tc>
        <w:tc>
          <w:tcPr>
            <w:shd w:val="clear" w:color="auto" w:fill="1b2a4a"/>
            <w:tcBorders>
              <w:top w:val="single" w:color="cccccc" w:sz="1" w:space="0"/>
              <w:left w:val="single" w:color="cccccc" w:sz="1" w:space="0"/>
              <w:bottom w:val="single" w:color="cccccc" w:sz="1" w:space="0"/>
              <w:right w:val="single" w:color="cccccc" w:sz="1" w:space="0"/>
            </w:tcBorders>
            <w:tcMar>
              <w:left w:w="120" w:type="dxa"/>
              <w:top w:w="80" w:type="dxa"/>
              <w:right w:w="120" w:type="dxa"/>
              <w:bottom w:w="80" w:type="dxa"/>
            </w:tcMar>
            <w:tcW w:w="2000" w:type="dxa"/>
            <w:vAlign w:val="center"/>
          </w:tcPr>
          <w:p>
            <w:pPr>
              <w:pBdr/>
              <w:spacing w:after="0"/>
              <w:ind/>
              <w:jc w:val="center"/>
              <w:rPr/>
            </w:pPr>
            <w:r>
              <w:rPr>
                <w:rFonts w:ascii="Arial" w:hAnsi="Arial" w:eastAsia="Arial" w:cs="Arial"/>
                <w:b/>
                <w:bCs/>
                <w:color w:val="ffffff"/>
                <w:sz w:val="20"/>
                <w:szCs w:val="20"/>
              </w:rPr>
              <w:t xml:space="preserve">R² (test)</w:t>
            </w:r>
            <w:r/>
          </w:p>
        </w:tc>
        <w:tc>
          <w:tcPr>
            <w:shd w:val="clear" w:color="auto" w:fill="1b2a4a"/>
            <w:tcBorders>
              <w:top w:val="single" w:color="cccccc" w:sz="1" w:space="0"/>
              <w:left w:val="single" w:color="cccccc" w:sz="1" w:space="0"/>
              <w:bottom w:val="single" w:color="cccccc" w:sz="1" w:space="0"/>
              <w:right w:val="single" w:color="cccccc" w:sz="1" w:space="0"/>
            </w:tcBorders>
            <w:tcMar>
              <w:left w:w="120" w:type="dxa"/>
              <w:top w:w="80" w:type="dxa"/>
              <w:right w:w="120" w:type="dxa"/>
              <w:bottom w:w="80" w:type="dxa"/>
            </w:tcMar>
            <w:tcW w:w="2000" w:type="dxa"/>
            <w:vAlign w:val="center"/>
          </w:tcPr>
          <w:p>
            <w:pPr>
              <w:pBdr/>
              <w:spacing w:after="0"/>
              <w:ind/>
              <w:jc w:val="center"/>
              <w:rPr/>
            </w:pPr>
            <w:r>
              <w:rPr>
                <w:rFonts w:ascii="Arial" w:hAnsi="Arial" w:eastAsia="Arial" w:cs="Arial"/>
                <w:b/>
                <w:bCs/>
                <w:color w:val="ffffff"/>
                <w:sz w:val="20"/>
                <w:szCs w:val="20"/>
              </w:rPr>
              <w:t xml:space="preserve">RMSE (test)</w:t>
            </w:r>
            <w:r/>
          </w:p>
        </w:tc>
        <w:tc>
          <w:tcPr>
            <w:shd w:val="clear" w:color="auto" w:fill="1b2a4a"/>
            <w:tcBorders>
              <w:top w:val="single" w:color="cccccc" w:sz="1" w:space="0"/>
              <w:left w:val="single" w:color="cccccc" w:sz="1" w:space="0"/>
              <w:bottom w:val="single" w:color="cccccc" w:sz="1" w:space="0"/>
              <w:right w:val="single" w:color="cccccc" w:sz="1" w:space="0"/>
            </w:tcBorders>
            <w:tcMar>
              <w:left w:w="120" w:type="dxa"/>
              <w:top w:w="80" w:type="dxa"/>
              <w:right w:w="120" w:type="dxa"/>
              <w:bottom w:w="80" w:type="dxa"/>
            </w:tcMar>
            <w:tcW w:w="2360" w:type="dxa"/>
            <w:vAlign w:val="center"/>
          </w:tcPr>
          <w:p>
            <w:pPr>
              <w:pBdr/>
              <w:spacing w:after="0"/>
              <w:ind/>
              <w:jc w:val="left"/>
              <w:rPr/>
            </w:pPr>
            <w:r>
              <w:rPr>
                <w:rFonts w:ascii="Arial" w:hAnsi="Arial" w:eastAsia="Arial" w:cs="Arial"/>
                <w:b/>
                <w:bCs/>
                <w:color w:val="ffffff"/>
                <w:sz w:val="20"/>
                <w:szCs w:val="20"/>
              </w:rPr>
              <w:t xml:space="preserve">SHAP algorithm</w:t>
            </w:r>
            <w:r/>
          </w:p>
        </w:tc>
      </w:tr>
      <w:tr>
        <w:trPr/>
        <w:tc>
          <w:tcPr>
            <w:shd w:val="clear" w:color="auto" w:fill="ffffff"/>
            <w:tcBorders>
              <w:top w:val="single" w:color="cccccc" w:sz="1" w:space="0"/>
              <w:left w:val="single" w:color="cccccc" w:sz="1" w:space="0"/>
              <w:bottom w:val="single" w:color="cccccc" w:sz="1" w:space="0"/>
              <w:right w:val="single" w:color="cccccc" w:sz="1" w:space="0"/>
            </w:tcBorders>
            <w:tcMar>
              <w:left w:w="120" w:type="dxa"/>
              <w:top w:w="80" w:type="dxa"/>
              <w:right w:w="120" w:type="dxa"/>
              <w:bottom w:w="80" w:type="dxa"/>
            </w:tcMar>
            <w:tcW w:w="3000" w:type="dxa"/>
            <w:vAlign w:val="center"/>
          </w:tcPr>
          <w:p>
            <w:pPr>
              <w:pBdr/>
              <w:spacing w:after="0"/>
              <w:ind/>
              <w:jc w:val="left"/>
              <w:rPr/>
            </w:pPr>
            <w:r>
              <w:rPr>
                <w:rFonts w:ascii="Arial" w:hAnsi="Arial" w:eastAsia="Arial" w:cs="Arial"/>
                <w:b w:val="0"/>
                <w:bCs w:val="0"/>
                <w:color w:val="1a202c"/>
                <w:sz w:val="20"/>
                <w:szCs w:val="20"/>
              </w:rPr>
              <w:t xml:space="preserve">Linear Regression</w:t>
            </w:r>
            <w:r/>
          </w:p>
        </w:tc>
        <w:tc>
          <w:tcPr>
            <w:shd w:val="clear" w:color="auto" w:fill="ffffff"/>
            <w:tcBorders>
              <w:top w:val="single" w:color="cccccc" w:sz="1" w:space="0"/>
              <w:left w:val="single" w:color="cccccc" w:sz="1" w:space="0"/>
              <w:bottom w:val="single" w:color="cccccc" w:sz="1" w:space="0"/>
              <w:right w:val="single" w:color="cccccc" w:sz="1" w:space="0"/>
            </w:tcBorders>
            <w:tcMar>
              <w:left w:w="120" w:type="dxa"/>
              <w:top w:w="80" w:type="dxa"/>
              <w:right w:w="120" w:type="dxa"/>
              <w:bottom w:w="80" w:type="dxa"/>
            </w:tcMar>
            <w:tcW w:w="2000" w:type="dxa"/>
            <w:vAlign w:val="center"/>
          </w:tcPr>
          <w:p>
            <w:pPr>
              <w:pBdr/>
              <w:spacing w:after="0"/>
              <w:ind/>
              <w:jc w:val="center"/>
              <w:rPr/>
            </w:pPr>
            <w:r>
              <w:rPr>
                <w:rFonts w:ascii="Arial" w:hAnsi="Arial" w:eastAsia="Arial" w:cs="Arial"/>
                <w:b w:val="0"/>
                <w:bCs w:val="0"/>
                <w:color w:val="1a202c"/>
                <w:sz w:val="20"/>
                <w:szCs w:val="20"/>
              </w:rPr>
              <w:t xml:space="preserve">0.5758</w:t>
            </w:r>
            <w:r/>
          </w:p>
        </w:tc>
        <w:tc>
          <w:tcPr>
            <w:shd w:val="clear" w:color="auto" w:fill="ffffff"/>
            <w:tcBorders>
              <w:top w:val="single" w:color="cccccc" w:sz="1" w:space="0"/>
              <w:left w:val="single" w:color="cccccc" w:sz="1" w:space="0"/>
              <w:bottom w:val="single" w:color="cccccc" w:sz="1" w:space="0"/>
              <w:right w:val="single" w:color="cccccc" w:sz="1" w:space="0"/>
            </w:tcBorders>
            <w:tcMar>
              <w:left w:w="120" w:type="dxa"/>
              <w:top w:w="80" w:type="dxa"/>
              <w:right w:w="120" w:type="dxa"/>
              <w:bottom w:w="80" w:type="dxa"/>
            </w:tcMar>
            <w:tcW w:w="2000" w:type="dxa"/>
            <w:vAlign w:val="center"/>
          </w:tcPr>
          <w:p>
            <w:pPr>
              <w:pBdr/>
              <w:spacing w:after="0"/>
              <w:ind/>
              <w:jc w:val="center"/>
              <w:rPr/>
            </w:pPr>
            <w:r>
              <w:rPr>
                <w:rFonts w:ascii="Arial" w:hAnsi="Arial" w:eastAsia="Arial" w:cs="Arial"/>
                <w:b w:val="0"/>
                <w:bCs w:val="0"/>
                <w:color w:val="1a202c"/>
                <w:sz w:val="20"/>
                <w:szCs w:val="20"/>
              </w:rPr>
              <w:t xml:space="preserve">0.7456</w:t>
            </w:r>
            <w:r/>
          </w:p>
        </w:tc>
        <w:tc>
          <w:tcPr>
            <w:shd w:val="clear" w:color="auto" w:fill="ffffff"/>
            <w:tcBorders>
              <w:top w:val="single" w:color="cccccc" w:sz="1" w:space="0"/>
              <w:left w:val="single" w:color="cccccc" w:sz="1" w:space="0"/>
              <w:bottom w:val="single" w:color="cccccc" w:sz="1" w:space="0"/>
              <w:right w:val="single" w:color="cccccc" w:sz="1" w:space="0"/>
            </w:tcBorders>
            <w:tcMar>
              <w:left w:w="120" w:type="dxa"/>
              <w:top w:w="80" w:type="dxa"/>
              <w:right w:w="120" w:type="dxa"/>
              <w:bottom w:w="80" w:type="dxa"/>
            </w:tcMar>
            <w:tcW w:w="2360" w:type="dxa"/>
            <w:vAlign w:val="center"/>
          </w:tcPr>
          <w:p>
            <w:pPr>
              <w:pBdr/>
              <w:spacing w:after="0"/>
              <w:ind/>
              <w:jc w:val="left"/>
              <w:rPr/>
            </w:pPr>
            <w:r>
              <w:rPr>
                <w:rFonts w:ascii="Arial" w:hAnsi="Arial" w:eastAsia="Arial" w:cs="Arial"/>
                <w:b w:val="0"/>
                <w:bCs w:val="0"/>
                <w:color w:val="1a202c"/>
                <w:sz w:val="20"/>
                <w:szCs w:val="20"/>
              </w:rPr>
              <w:t xml:space="preserve">LinearSHAP</w:t>
            </w:r>
            <w:r/>
          </w:p>
        </w:tc>
      </w:tr>
      <w:tr>
        <w:trPr/>
        <w:tc>
          <w:tcPr>
            <w:shd w:val="clear" w:color="auto" w:fill="ffffff"/>
            <w:tcBorders>
              <w:top w:val="single" w:color="cccccc" w:sz="1" w:space="0"/>
              <w:left w:val="single" w:color="cccccc" w:sz="1" w:space="0"/>
              <w:bottom w:val="single" w:color="cccccc" w:sz="1" w:space="0"/>
              <w:right w:val="single" w:color="cccccc" w:sz="1" w:space="0"/>
            </w:tcBorders>
            <w:tcMar>
              <w:left w:w="120" w:type="dxa"/>
              <w:top w:w="80" w:type="dxa"/>
              <w:right w:w="120" w:type="dxa"/>
              <w:bottom w:w="80" w:type="dxa"/>
            </w:tcMar>
            <w:tcW w:w="3000" w:type="dxa"/>
            <w:vAlign w:val="center"/>
          </w:tcPr>
          <w:p>
            <w:pPr>
              <w:pBdr/>
              <w:spacing w:after="0"/>
              <w:ind/>
              <w:jc w:val="left"/>
              <w:rPr/>
            </w:pPr>
            <w:r>
              <w:rPr>
                <w:rFonts w:ascii="Arial" w:hAnsi="Arial" w:eastAsia="Arial" w:cs="Arial"/>
                <w:b w:val="0"/>
                <w:bCs w:val="0"/>
                <w:color w:val="1a202c"/>
                <w:sz w:val="20"/>
                <w:szCs w:val="20"/>
              </w:rPr>
              <w:t xml:space="preserve">Random Forest (200 trees)</w:t>
            </w:r>
            <w:r/>
          </w:p>
        </w:tc>
        <w:tc>
          <w:tcPr>
            <w:shd w:val="clear" w:color="auto" w:fill="ffffff"/>
            <w:tcBorders>
              <w:top w:val="single" w:color="cccccc" w:sz="1" w:space="0"/>
              <w:left w:val="single" w:color="cccccc" w:sz="1" w:space="0"/>
              <w:bottom w:val="single" w:color="cccccc" w:sz="1" w:space="0"/>
              <w:right w:val="single" w:color="cccccc" w:sz="1" w:space="0"/>
            </w:tcBorders>
            <w:tcMar>
              <w:left w:w="120" w:type="dxa"/>
              <w:top w:w="80" w:type="dxa"/>
              <w:right w:w="120" w:type="dxa"/>
              <w:bottom w:w="80" w:type="dxa"/>
            </w:tcMar>
            <w:tcW w:w="2000" w:type="dxa"/>
            <w:vAlign w:val="center"/>
          </w:tcPr>
          <w:p>
            <w:pPr>
              <w:pBdr/>
              <w:spacing w:after="0"/>
              <w:ind/>
              <w:jc w:val="center"/>
              <w:rPr/>
            </w:pPr>
            <w:r>
              <w:rPr>
                <w:rFonts w:ascii="Arial" w:hAnsi="Arial" w:eastAsia="Arial" w:cs="Arial"/>
                <w:b w:val="0"/>
                <w:bCs w:val="0"/>
                <w:color w:val="1a202c"/>
                <w:sz w:val="20"/>
                <w:szCs w:val="20"/>
              </w:rPr>
              <w:t xml:space="preserve">0.8062</w:t>
            </w:r>
            <w:r/>
          </w:p>
        </w:tc>
        <w:tc>
          <w:tcPr>
            <w:shd w:val="clear" w:color="auto" w:fill="ffffff"/>
            <w:tcBorders>
              <w:top w:val="single" w:color="cccccc" w:sz="1" w:space="0"/>
              <w:left w:val="single" w:color="cccccc" w:sz="1" w:space="0"/>
              <w:bottom w:val="single" w:color="cccccc" w:sz="1" w:space="0"/>
              <w:right w:val="single" w:color="cccccc" w:sz="1" w:space="0"/>
            </w:tcBorders>
            <w:tcMar>
              <w:left w:w="120" w:type="dxa"/>
              <w:top w:w="80" w:type="dxa"/>
              <w:right w:w="120" w:type="dxa"/>
              <w:bottom w:w="80" w:type="dxa"/>
            </w:tcMar>
            <w:tcW w:w="2000" w:type="dxa"/>
            <w:vAlign w:val="center"/>
          </w:tcPr>
          <w:p>
            <w:pPr>
              <w:pBdr/>
              <w:spacing w:after="0"/>
              <w:ind/>
              <w:jc w:val="center"/>
              <w:rPr/>
            </w:pPr>
            <w:r>
              <w:rPr>
                <w:rFonts w:ascii="Arial" w:hAnsi="Arial" w:eastAsia="Arial" w:cs="Arial"/>
                <w:b w:val="0"/>
                <w:bCs w:val="0"/>
                <w:color w:val="1a202c"/>
                <w:sz w:val="20"/>
                <w:szCs w:val="20"/>
              </w:rPr>
              <w:t xml:space="preserve">0.5040</w:t>
            </w:r>
            <w:r/>
          </w:p>
        </w:tc>
        <w:tc>
          <w:tcPr>
            <w:shd w:val="clear" w:color="auto" w:fill="ffffff"/>
            <w:tcBorders>
              <w:top w:val="single" w:color="cccccc" w:sz="1" w:space="0"/>
              <w:left w:val="single" w:color="cccccc" w:sz="1" w:space="0"/>
              <w:bottom w:val="single" w:color="cccccc" w:sz="1" w:space="0"/>
              <w:right w:val="single" w:color="cccccc" w:sz="1" w:space="0"/>
            </w:tcBorders>
            <w:tcMar>
              <w:left w:w="120" w:type="dxa"/>
              <w:top w:w="80" w:type="dxa"/>
              <w:right w:w="120" w:type="dxa"/>
              <w:bottom w:w="80" w:type="dxa"/>
            </w:tcMar>
            <w:tcW w:w="2360" w:type="dxa"/>
            <w:vAlign w:val="center"/>
          </w:tcPr>
          <w:p>
            <w:pPr>
              <w:pBdr/>
              <w:spacing w:after="0"/>
              <w:ind/>
              <w:jc w:val="left"/>
              <w:rPr/>
            </w:pPr>
            <w:r>
              <w:rPr>
                <w:rFonts w:ascii="Arial" w:hAnsi="Arial" w:eastAsia="Arial" w:cs="Arial"/>
                <w:b w:val="0"/>
                <w:bCs w:val="0"/>
                <w:color w:val="1a202c"/>
                <w:sz w:val="20"/>
                <w:szCs w:val="20"/>
              </w:rPr>
              <w:t xml:space="preserve">TreeSHAP</w:t>
            </w:r>
            <w:r/>
          </w:p>
        </w:tc>
      </w:tr>
    </w:tbl>
    <w:p>
      <w:pPr>
        <w:pBdr/>
        <w:spacing w:after="240" w:before="80"/>
        <w:ind/>
        <w:jc w:val="center"/>
        <w:rPr/>
      </w:pPr>
      <w:r>
        <w:rPr>
          <w:rFonts w:ascii="Arial" w:hAnsi="Arial" w:eastAsia="Arial" w:cs="Arial"/>
          <w:i/>
          <w:iCs/>
          <w:color w:val="4a5568"/>
          <w:sz w:val="20"/>
          <w:szCs w:val="20"/>
        </w:rPr>
        <w:t xml:space="preserve">Table 2. Predictive performance of both models on the held-out test set.</w:t>
      </w:r>
      <w:r/>
    </w:p>
    <w:p>
      <w:pPr>
        <w:pStyle w:val="745"/>
        <w:pBdr/>
        <w:spacing/>
        <w:ind/>
        <w:rPr/>
      </w:pPr>
      <w:r>
        <w:t xml:space="preserve">4.2 Hypothesis H1: Income Dominance</w:t>
      </w:r>
      <w:r/>
    </w:p>
    <w:p>
      <w:pPr>
        <w:pBdr/>
        <w:spacing w:after="160" w:line="276" w:lineRule="auto"/>
        <w:ind/>
        <w:jc w:val="both"/>
        <w:rPr/>
      </w:pPr>
      <w:r>
        <w:rPr>
          <w:rFonts w:ascii="Times New Roman" w:hAnsi="Times New Roman" w:eastAsia="Times New Roman" w:cs="Times New Roman"/>
          <w:sz w:val="24"/>
          <w:szCs w:val="24"/>
        </w:rPr>
        <w:t xml:space="preserve">Table 3 shows the feature rankings by mean absolute attribution for the Random Forest under both TreeSHAP and LIME. MedInc ranks first in both methods, with a mean |SHAP| of 0.55, substantially higher than all other features. Hypothesis H1 is confirmed.</w:t>
      </w:r>
      <w:r/>
    </w:p>
    <w:p>
      <w:pPr>
        <w:pBdr/>
        <w:spacing w:after="160" w:line="276" w:lineRule="auto"/>
        <w:ind/>
        <w:jc w:val="both"/>
        <w:rPr/>
      </w:pPr>
      <w:r>
        <w:rPr>
          <w:rFonts w:ascii="Times New Roman" w:hAnsi="Times New Roman" w:eastAsia="Times New Roman" w:cs="Times New Roman"/>
          <w:sz w:val="24"/>
          <w:szCs w:val="24"/>
        </w:rPr>
        <w:t xml:space="preserve">The rank agreement between SHAP and LIME is high for the top and bottom of t</w:t>
      </w:r>
      <w:r>
        <w:rPr>
          <w:rFonts w:ascii="Times New Roman" w:hAnsi="Times New Roman" w:eastAsia="Times New Roman" w:cs="Times New Roman"/>
          <w:sz w:val="24"/>
          <w:szCs w:val="24"/>
        </w:rPr>
        <w:t xml:space="preserve">he ranking: both methods agree exactly on positions 1, 2, 5, and 8, and differ by at most one rank for all other features. The only notable disagreement is AveOccup (SHAP rank 3 vs LIME rank 4) and Longitude (SHAP rank 4 vs LIME rank 3), a minor inversion.</w:t>
      </w:r>
      <w:r/>
    </w:p>
    <w:p>
      <w:pPr>
        <w:pBdr/>
        <w:spacing w:after="60"/>
        <w:ind/>
        <w:rPr/>
      </w:pPr>
      <w:r/>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00"/>
        <w:gridCol w:w="1800"/>
        <w:gridCol w:w="1800"/>
        <w:gridCol w:w="1800"/>
        <w:gridCol w:w="2360"/>
      </w:tblGrid>
      <w:tr>
        <w:trPr>
          <w:tblHeader/>
        </w:trPr>
        <w:tc>
          <w:tcPr>
            <w:shd w:val="clear" w:color="auto" w:fill="1b2a4a"/>
            <w:tcBorders>
              <w:top w:val="single" w:color="cccccc" w:sz="1" w:space="0"/>
              <w:left w:val="single" w:color="cccccc" w:sz="1" w:space="0"/>
              <w:bottom w:val="single" w:color="cccccc" w:sz="1" w:space="0"/>
              <w:right w:val="single" w:color="cccccc" w:sz="1" w:space="0"/>
            </w:tcBorders>
            <w:tcMar>
              <w:left w:w="120" w:type="dxa"/>
              <w:top w:w="80" w:type="dxa"/>
              <w:right w:w="120" w:type="dxa"/>
              <w:bottom w:w="80" w:type="dxa"/>
            </w:tcMar>
            <w:tcW w:w="1600" w:type="dxa"/>
            <w:vAlign w:val="center"/>
          </w:tcPr>
          <w:p>
            <w:pPr>
              <w:pBdr/>
              <w:spacing w:after="0"/>
              <w:ind/>
              <w:jc w:val="left"/>
              <w:rPr/>
            </w:pPr>
            <w:r>
              <w:rPr>
                <w:rFonts w:ascii="Arial" w:hAnsi="Arial" w:eastAsia="Arial" w:cs="Arial"/>
                <w:b/>
                <w:bCs/>
                <w:color w:val="ffffff"/>
                <w:sz w:val="20"/>
                <w:szCs w:val="20"/>
              </w:rPr>
              <w:t xml:space="preserve">Rank (SHAP)</w:t>
            </w:r>
            <w:r/>
          </w:p>
        </w:tc>
        <w:tc>
          <w:tcPr>
            <w:shd w:val="clear" w:color="auto" w:fill="1b2a4a"/>
            <w:tcBorders>
              <w:top w:val="single" w:color="cccccc" w:sz="1" w:space="0"/>
              <w:left w:val="single" w:color="cccccc" w:sz="1" w:space="0"/>
              <w:bottom w:val="single" w:color="cccccc" w:sz="1" w:space="0"/>
              <w:right w:val="single" w:color="cccccc" w:sz="1" w:space="0"/>
            </w:tcBorders>
            <w:tcMar>
              <w:left w:w="120" w:type="dxa"/>
              <w:top w:w="80" w:type="dxa"/>
              <w:right w:w="120" w:type="dxa"/>
              <w:bottom w:w="80" w:type="dxa"/>
            </w:tcMar>
            <w:tcW w:w="1800" w:type="dxa"/>
            <w:vAlign w:val="center"/>
          </w:tcPr>
          <w:p>
            <w:pPr>
              <w:pBdr/>
              <w:spacing w:after="0"/>
              <w:ind/>
              <w:jc w:val="left"/>
              <w:rPr/>
            </w:pPr>
            <w:r>
              <w:rPr>
                <w:rFonts w:ascii="Arial" w:hAnsi="Arial" w:eastAsia="Arial" w:cs="Arial"/>
                <w:b/>
                <w:bCs/>
                <w:color w:val="ffffff"/>
                <w:sz w:val="20"/>
                <w:szCs w:val="20"/>
              </w:rPr>
              <w:t xml:space="preserve">Feature</w:t>
            </w:r>
            <w:r/>
          </w:p>
        </w:tc>
        <w:tc>
          <w:tcPr>
            <w:shd w:val="clear" w:color="auto" w:fill="1b2a4a"/>
            <w:tcBorders>
              <w:top w:val="single" w:color="cccccc" w:sz="1" w:space="0"/>
              <w:left w:val="single" w:color="cccccc" w:sz="1" w:space="0"/>
              <w:bottom w:val="single" w:color="cccccc" w:sz="1" w:space="0"/>
              <w:right w:val="single" w:color="cccccc" w:sz="1" w:space="0"/>
            </w:tcBorders>
            <w:tcMar>
              <w:left w:w="120" w:type="dxa"/>
              <w:top w:w="80" w:type="dxa"/>
              <w:right w:w="120" w:type="dxa"/>
              <w:bottom w:w="80" w:type="dxa"/>
            </w:tcMar>
            <w:tcW w:w="1800" w:type="dxa"/>
            <w:vAlign w:val="center"/>
          </w:tcPr>
          <w:p>
            <w:pPr>
              <w:pBdr/>
              <w:spacing w:after="0"/>
              <w:ind/>
              <w:jc w:val="left"/>
              <w:rPr/>
            </w:pPr>
            <w:r>
              <w:rPr>
                <w:rFonts w:ascii="Arial" w:hAnsi="Arial" w:eastAsia="Arial" w:cs="Arial"/>
                <w:b/>
                <w:bCs/>
                <w:color w:val="ffffff"/>
                <w:sz w:val="20"/>
                <w:szCs w:val="20"/>
              </w:rPr>
              <w:t xml:space="preserve">Mean |SHAP|</w:t>
            </w:r>
            <w:r/>
          </w:p>
        </w:tc>
        <w:tc>
          <w:tcPr>
            <w:shd w:val="clear" w:color="auto" w:fill="1b2a4a"/>
            <w:tcBorders>
              <w:top w:val="single" w:color="cccccc" w:sz="1" w:space="0"/>
              <w:left w:val="single" w:color="cccccc" w:sz="1" w:space="0"/>
              <w:bottom w:val="single" w:color="cccccc" w:sz="1" w:space="0"/>
              <w:right w:val="single" w:color="cccccc" w:sz="1" w:space="0"/>
            </w:tcBorders>
            <w:tcMar>
              <w:left w:w="120" w:type="dxa"/>
              <w:top w:w="80" w:type="dxa"/>
              <w:right w:w="120" w:type="dxa"/>
              <w:bottom w:w="80" w:type="dxa"/>
            </w:tcMar>
            <w:tcW w:w="1800" w:type="dxa"/>
            <w:vAlign w:val="center"/>
          </w:tcPr>
          <w:p>
            <w:pPr>
              <w:pBdr/>
              <w:spacing w:after="0"/>
              <w:ind/>
              <w:jc w:val="left"/>
              <w:rPr/>
            </w:pPr>
            <w:r>
              <w:rPr>
                <w:rFonts w:ascii="Arial" w:hAnsi="Arial" w:eastAsia="Arial" w:cs="Arial"/>
                <w:b/>
                <w:bCs/>
                <w:color w:val="ffffff"/>
                <w:sz w:val="20"/>
                <w:szCs w:val="20"/>
              </w:rPr>
              <w:t xml:space="preserve">LIME rank</w:t>
            </w:r>
            <w:r/>
          </w:p>
        </w:tc>
        <w:tc>
          <w:tcPr>
            <w:shd w:val="clear" w:color="auto" w:fill="1b2a4a"/>
            <w:tcBorders>
              <w:top w:val="single" w:color="cccccc" w:sz="1" w:space="0"/>
              <w:left w:val="single" w:color="cccccc" w:sz="1" w:space="0"/>
              <w:bottom w:val="single" w:color="cccccc" w:sz="1" w:space="0"/>
              <w:right w:val="single" w:color="cccccc" w:sz="1" w:space="0"/>
            </w:tcBorders>
            <w:tcMar>
              <w:left w:w="120" w:type="dxa"/>
              <w:top w:w="80" w:type="dxa"/>
              <w:right w:w="120" w:type="dxa"/>
              <w:bottom w:w="80" w:type="dxa"/>
            </w:tcMar>
            <w:tcW w:w="2360" w:type="dxa"/>
            <w:vAlign w:val="center"/>
          </w:tcPr>
          <w:p>
            <w:pPr>
              <w:pBdr/>
              <w:spacing w:after="0"/>
              <w:ind/>
              <w:jc w:val="left"/>
              <w:rPr/>
            </w:pPr>
            <w:r>
              <w:rPr>
                <w:rFonts w:ascii="Arial" w:hAnsi="Arial" w:eastAsia="Arial" w:cs="Arial"/>
                <w:b/>
                <w:bCs/>
                <w:color w:val="ffffff"/>
                <w:sz w:val="20"/>
                <w:szCs w:val="20"/>
              </w:rPr>
              <w:t xml:space="preserve">Agreement</w:t>
            </w:r>
            <w:r/>
          </w:p>
        </w:tc>
      </w:tr>
      <w:tr>
        <w:trPr/>
        <w:tc>
          <w:tcPr>
            <w:shd w:val="clear" w:color="auto" w:fill="ffffff"/>
            <w:tcBorders>
              <w:top w:val="single" w:color="cccccc" w:sz="1" w:space="0"/>
              <w:left w:val="single" w:color="cccccc" w:sz="1" w:space="0"/>
              <w:bottom w:val="single" w:color="cccccc" w:sz="1" w:space="0"/>
              <w:right w:val="single" w:color="cccccc" w:sz="1" w:space="0"/>
            </w:tcBorders>
            <w:tcMar>
              <w:left w:w="120" w:type="dxa"/>
              <w:top w:w="80" w:type="dxa"/>
              <w:right w:w="120" w:type="dxa"/>
              <w:bottom w:w="80" w:type="dxa"/>
            </w:tcMar>
            <w:tcW w:w="1600" w:type="dxa"/>
            <w:vAlign w:val="center"/>
          </w:tcPr>
          <w:p>
            <w:pPr>
              <w:pBdr/>
              <w:spacing w:after="0"/>
              <w:ind/>
              <w:jc w:val="center"/>
              <w:rPr/>
            </w:pPr>
            <w:r>
              <w:rPr>
                <w:rFonts w:ascii="Arial" w:hAnsi="Arial" w:eastAsia="Arial" w:cs="Arial"/>
                <w:b w:val="0"/>
                <w:bCs w:val="0"/>
                <w:color w:val="1a202c"/>
                <w:sz w:val="20"/>
                <w:szCs w:val="20"/>
              </w:rPr>
              <w:t xml:space="preserve">1</w:t>
            </w:r>
            <w:r/>
          </w:p>
        </w:tc>
        <w:tc>
          <w:tcPr>
            <w:shd w:val="clear" w:color="auto" w:fill="ffffff"/>
            <w:tcBorders>
              <w:top w:val="single" w:color="cccccc" w:sz="1" w:space="0"/>
              <w:left w:val="single" w:color="cccccc" w:sz="1" w:space="0"/>
              <w:bottom w:val="single" w:color="cccccc" w:sz="1" w:space="0"/>
              <w:right w:val="single" w:color="cccccc" w:sz="1" w:space="0"/>
            </w:tcBorders>
            <w:tcMar>
              <w:left w:w="120" w:type="dxa"/>
              <w:top w:w="80" w:type="dxa"/>
              <w:right w:w="120" w:type="dxa"/>
              <w:bottom w:w="80" w:type="dxa"/>
            </w:tcMar>
            <w:tcW w:w="1800" w:type="dxa"/>
            <w:vAlign w:val="center"/>
          </w:tcPr>
          <w:p>
            <w:pPr>
              <w:pBdr/>
              <w:spacing w:after="0"/>
              <w:ind/>
              <w:jc w:val="left"/>
              <w:rPr/>
            </w:pPr>
            <w:r>
              <w:rPr>
                <w:rFonts w:ascii="Arial" w:hAnsi="Arial" w:eastAsia="Arial" w:cs="Arial"/>
                <w:b w:val="0"/>
                <w:bCs w:val="0"/>
                <w:color w:val="1a202c"/>
                <w:sz w:val="20"/>
                <w:szCs w:val="20"/>
              </w:rPr>
              <w:t xml:space="preserve">MedInc</w:t>
            </w:r>
            <w:r/>
          </w:p>
        </w:tc>
        <w:tc>
          <w:tcPr>
            <w:shd w:val="clear" w:color="auto" w:fill="ffffff"/>
            <w:tcBorders>
              <w:top w:val="single" w:color="cccccc" w:sz="1" w:space="0"/>
              <w:left w:val="single" w:color="cccccc" w:sz="1" w:space="0"/>
              <w:bottom w:val="single" w:color="cccccc" w:sz="1" w:space="0"/>
              <w:right w:val="single" w:color="cccccc" w:sz="1" w:space="0"/>
            </w:tcBorders>
            <w:tcMar>
              <w:left w:w="120" w:type="dxa"/>
              <w:top w:w="80" w:type="dxa"/>
              <w:right w:w="120" w:type="dxa"/>
              <w:bottom w:w="80" w:type="dxa"/>
            </w:tcMar>
            <w:tcW w:w="1800" w:type="dxa"/>
            <w:vAlign w:val="center"/>
          </w:tcPr>
          <w:p>
            <w:pPr>
              <w:pBdr/>
              <w:spacing w:after="0"/>
              <w:ind/>
              <w:jc w:val="center"/>
              <w:rPr/>
            </w:pPr>
            <w:r>
              <w:rPr>
                <w:rFonts w:ascii="Arial" w:hAnsi="Arial" w:eastAsia="Arial" w:cs="Arial"/>
                <w:b w:val="0"/>
                <w:bCs w:val="0"/>
                <w:color w:val="1a202c"/>
                <w:sz w:val="20"/>
                <w:szCs w:val="20"/>
              </w:rPr>
              <w:t xml:space="preserve">0.55</w:t>
            </w:r>
            <w:r/>
          </w:p>
        </w:tc>
        <w:tc>
          <w:tcPr>
            <w:shd w:val="clear" w:color="auto" w:fill="ffffff"/>
            <w:tcBorders>
              <w:top w:val="single" w:color="cccccc" w:sz="1" w:space="0"/>
              <w:left w:val="single" w:color="cccccc" w:sz="1" w:space="0"/>
              <w:bottom w:val="single" w:color="cccccc" w:sz="1" w:space="0"/>
              <w:right w:val="single" w:color="cccccc" w:sz="1" w:space="0"/>
            </w:tcBorders>
            <w:tcMar>
              <w:left w:w="120" w:type="dxa"/>
              <w:top w:w="80" w:type="dxa"/>
              <w:right w:w="120" w:type="dxa"/>
              <w:bottom w:w="80" w:type="dxa"/>
            </w:tcMar>
            <w:tcW w:w="1800" w:type="dxa"/>
            <w:vAlign w:val="center"/>
          </w:tcPr>
          <w:p>
            <w:pPr>
              <w:pBdr/>
              <w:spacing w:after="0"/>
              <w:ind/>
              <w:jc w:val="center"/>
              <w:rPr/>
            </w:pPr>
            <w:r>
              <w:rPr>
                <w:rFonts w:ascii="Arial" w:hAnsi="Arial" w:eastAsia="Arial" w:cs="Arial"/>
                <w:b w:val="0"/>
                <w:bCs w:val="0"/>
                <w:color w:val="1a202c"/>
                <w:sz w:val="20"/>
                <w:szCs w:val="20"/>
              </w:rPr>
              <w:t xml:space="preserve">1</w:t>
            </w:r>
            <w:r/>
          </w:p>
        </w:tc>
        <w:tc>
          <w:tcPr>
            <w:shd w:val="clear" w:color="auto" w:fill="ffffff"/>
            <w:tcBorders>
              <w:top w:val="single" w:color="cccccc" w:sz="1" w:space="0"/>
              <w:left w:val="single" w:color="cccccc" w:sz="1" w:space="0"/>
              <w:bottom w:val="single" w:color="cccccc" w:sz="1" w:space="0"/>
              <w:right w:val="single" w:color="cccccc" w:sz="1" w:space="0"/>
            </w:tcBorders>
            <w:tcMar>
              <w:left w:w="120" w:type="dxa"/>
              <w:top w:w="80" w:type="dxa"/>
              <w:right w:w="120" w:type="dxa"/>
              <w:bottom w:w="80" w:type="dxa"/>
            </w:tcMar>
            <w:tcW w:w="2360" w:type="dxa"/>
            <w:vAlign w:val="center"/>
          </w:tcPr>
          <w:p>
            <w:pPr>
              <w:pBdr/>
              <w:spacing w:after="0"/>
              <w:ind/>
              <w:jc w:val="left"/>
              <w:rPr/>
            </w:pPr>
            <w:r>
              <w:rPr>
                <w:rFonts w:ascii="Arial" w:hAnsi="Arial" w:eastAsia="Arial" w:cs="Arial"/>
                <w:b w:val="0"/>
                <w:bCs w:val="0"/>
                <w:color w:val="1a202c"/>
                <w:sz w:val="20"/>
                <w:szCs w:val="20"/>
              </w:rPr>
              <w:t xml:space="preserve">Exact match</w:t>
            </w:r>
            <w:r/>
          </w:p>
        </w:tc>
      </w:tr>
      <w:tr>
        <w:trPr/>
        <w:tc>
          <w:tcPr>
            <w:shd w:val="clear" w:color="auto" w:fill="ffffff"/>
            <w:tcBorders>
              <w:top w:val="single" w:color="cccccc" w:sz="1" w:space="0"/>
              <w:left w:val="single" w:color="cccccc" w:sz="1" w:space="0"/>
              <w:bottom w:val="single" w:color="cccccc" w:sz="1" w:space="0"/>
              <w:right w:val="single" w:color="cccccc" w:sz="1" w:space="0"/>
            </w:tcBorders>
            <w:tcMar>
              <w:left w:w="120" w:type="dxa"/>
              <w:top w:w="80" w:type="dxa"/>
              <w:right w:w="120" w:type="dxa"/>
              <w:bottom w:w="80" w:type="dxa"/>
            </w:tcMar>
            <w:tcW w:w="1600" w:type="dxa"/>
            <w:vAlign w:val="center"/>
          </w:tcPr>
          <w:p>
            <w:pPr>
              <w:pBdr/>
              <w:spacing w:after="0"/>
              <w:ind/>
              <w:jc w:val="center"/>
              <w:rPr/>
            </w:pPr>
            <w:r>
              <w:rPr>
                <w:rFonts w:ascii="Arial" w:hAnsi="Arial" w:eastAsia="Arial" w:cs="Arial"/>
                <w:b w:val="0"/>
                <w:bCs w:val="0"/>
                <w:color w:val="1a202c"/>
                <w:sz w:val="20"/>
                <w:szCs w:val="20"/>
              </w:rPr>
              <w:t xml:space="preserve">2</w:t>
            </w:r>
            <w:r/>
          </w:p>
        </w:tc>
        <w:tc>
          <w:tcPr>
            <w:shd w:val="clear" w:color="auto" w:fill="ffffff"/>
            <w:tcBorders>
              <w:top w:val="single" w:color="cccccc" w:sz="1" w:space="0"/>
              <w:left w:val="single" w:color="cccccc" w:sz="1" w:space="0"/>
              <w:bottom w:val="single" w:color="cccccc" w:sz="1" w:space="0"/>
              <w:right w:val="single" w:color="cccccc" w:sz="1" w:space="0"/>
            </w:tcBorders>
            <w:tcMar>
              <w:left w:w="120" w:type="dxa"/>
              <w:top w:w="80" w:type="dxa"/>
              <w:right w:w="120" w:type="dxa"/>
              <w:bottom w:w="80" w:type="dxa"/>
            </w:tcMar>
            <w:tcW w:w="1800" w:type="dxa"/>
            <w:vAlign w:val="center"/>
          </w:tcPr>
          <w:p>
            <w:pPr>
              <w:pBdr/>
              <w:spacing w:after="0"/>
              <w:ind/>
              <w:jc w:val="left"/>
              <w:rPr/>
            </w:pPr>
            <w:r>
              <w:rPr>
                <w:rFonts w:ascii="Arial" w:hAnsi="Arial" w:eastAsia="Arial" w:cs="Arial"/>
                <w:b w:val="0"/>
                <w:bCs w:val="0"/>
                <w:color w:val="1a202c"/>
                <w:sz w:val="20"/>
                <w:szCs w:val="20"/>
              </w:rPr>
              <w:t xml:space="preserve">Latitude</w:t>
            </w:r>
            <w:r/>
          </w:p>
        </w:tc>
        <w:tc>
          <w:tcPr>
            <w:shd w:val="clear" w:color="auto" w:fill="ffffff"/>
            <w:tcBorders>
              <w:top w:val="single" w:color="cccccc" w:sz="1" w:space="0"/>
              <w:left w:val="single" w:color="cccccc" w:sz="1" w:space="0"/>
              <w:bottom w:val="single" w:color="cccccc" w:sz="1" w:space="0"/>
              <w:right w:val="single" w:color="cccccc" w:sz="1" w:space="0"/>
            </w:tcBorders>
            <w:tcMar>
              <w:left w:w="120" w:type="dxa"/>
              <w:top w:w="80" w:type="dxa"/>
              <w:right w:w="120" w:type="dxa"/>
              <w:bottom w:w="80" w:type="dxa"/>
            </w:tcMar>
            <w:tcW w:w="1800" w:type="dxa"/>
            <w:vAlign w:val="center"/>
          </w:tcPr>
          <w:p>
            <w:pPr>
              <w:pBdr/>
              <w:spacing w:after="0"/>
              <w:ind/>
              <w:jc w:val="center"/>
              <w:rPr/>
            </w:pPr>
            <w:r>
              <w:rPr>
                <w:rFonts w:ascii="Arial" w:hAnsi="Arial" w:eastAsia="Arial" w:cs="Arial"/>
                <w:b w:val="0"/>
                <w:bCs w:val="0"/>
                <w:color w:val="1a202c"/>
                <w:sz w:val="20"/>
                <w:szCs w:val="20"/>
              </w:rPr>
              <w:t xml:space="preserve">0.26</w:t>
            </w:r>
            <w:r/>
          </w:p>
        </w:tc>
        <w:tc>
          <w:tcPr>
            <w:shd w:val="clear" w:color="auto" w:fill="ffffff"/>
            <w:tcBorders>
              <w:top w:val="single" w:color="cccccc" w:sz="1" w:space="0"/>
              <w:left w:val="single" w:color="cccccc" w:sz="1" w:space="0"/>
              <w:bottom w:val="single" w:color="cccccc" w:sz="1" w:space="0"/>
              <w:right w:val="single" w:color="cccccc" w:sz="1" w:space="0"/>
            </w:tcBorders>
            <w:tcMar>
              <w:left w:w="120" w:type="dxa"/>
              <w:top w:w="80" w:type="dxa"/>
              <w:right w:w="120" w:type="dxa"/>
              <w:bottom w:w="80" w:type="dxa"/>
            </w:tcMar>
            <w:tcW w:w="1800" w:type="dxa"/>
            <w:vAlign w:val="center"/>
          </w:tcPr>
          <w:p>
            <w:pPr>
              <w:pBdr/>
              <w:spacing w:after="0"/>
              <w:ind/>
              <w:jc w:val="center"/>
              <w:rPr/>
            </w:pPr>
            <w:r>
              <w:rPr>
                <w:rFonts w:ascii="Arial" w:hAnsi="Arial" w:eastAsia="Arial" w:cs="Arial"/>
                <w:b w:val="0"/>
                <w:bCs w:val="0"/>
                <w:color w:val="1a202c"/>
                <w:sz w:val="20"/>
                <w:szCs w:val="20"/>
              </w:rPr>
              <w:t xml:space="preserve">2</w:t>
            </w:r>
            <w:r/>
          </w:p>
        </w:tc>
        <w:tc>
          <w:tcPr>
            <w:shd w:val="clear" w:color="auto" w:fill="ffffff"/>
            <w:tcBorders>
              <w:top w:val="single" w:color="cccccc" w:sz="1" w:space="0"/>
              <w:left w:val="single" w:color="cccccc" w:sz="1" w:space="0"/>
              <w:bottom w:val="single" w:color="cccccc" w:sz="1" w:space="0"/>
              <w:right w:val="single" w:color="cccccc" w:sz="1" w:space="0"/>
            </w:tcBorders>
            <w:tcMar>
              <w:left w:w="120" w:type="dxa"/>
              <w:top w:w="80" w:type="dxa"/>
              <w:right w:w="120" w:type="dxa"/>
              <w:bottom w:w="80" w:type="dxa"/>
            </w:tcMar>
            <w:tcW w:w="2360" w:type="dxa"/>
            <w:vAlign w:val="center"/>
          </w:tcPr>
          <w:p>
            <w:pPr>
              <w:pBdr/>
              <w:spacing w:after="0"/>
              <w:ind/>
              <w:jc w:val="left"/>
              <w:rPr/>
            </w:pPr>
            <w:r>
              <w:rPr>
                <w:rFonts w:ascii="Arial" w:hAnsi="Arial" w:eastAsia="Arial" w:cs="Arial"/>
                <w:b w:val="0"/>
                <w:bCs w:val="0"/>
                <w:color w:val="1a202c"/>
                <w:sz w:val="20"/>
                <w:szCs w:val="20"/>
              </w:rPr>
              <w:t xml:space="preserve">Exact match</w:t>
            </w:r>
            <w:r/>
          </w:p>
        </w:tc>
      </w:tr>
      <w:tr>
        <w:trPr/>
        <w:tc>
          <w:tcPr>
            <w:shd w:val="clear" w:color="auto" w:fill="ffffff"/>
            <w:tcBorders>
              <w:top w:val="single" w:color="cccccc" w:sz="1" w:space="0"/>
              <w:left w:val="single" w:color="cccccc" w:sz="1" w:space="0"/>
              <w:bottom w:val="single" w:color="cccccc" w:sz="1" w:space="0"/>
              <w:right w:val="single" w:color="cccccc" w:sz="1" w:space="0"/>
            </w:tcBorders>
            <w:tcMar>
              <w:left w:w="120" w:type="dxa"/>
              <w:top w:w="80" w:type="dxa"/>
              <w:right w:w="120" w:type="dxa"/>
              <w:bottom w:w="80" w:type="dxa"/>
            </w:tcMar>
            <w:tcW w:w="1600" w:type="dxa"/>
            <w:vAlign w:val="center"/>
          </w:tcPr>
          <w:p>
            <w:pPr>
              <w:pBdr/>
              <w:spacing w:after="0"/>
              <w:ind/>
              <w:jc w:val="center"/>
              <w:rPr/>
            </w:pPr>
            <w:r>
              <w:rPr>
                <w:rFonts w:ascii="Arial" w:hAnsi="Arial" w:eastAsia="Arial" w:cs="Arial"/>
                <w:b w:val="0"/>
                <w:bCs w:val="0"/>
                <w:color w:val="1a202c"/>
                <w:sz w:val="20"/>
                <w:szCs w:val="20"/>
              </w:rPr>
              <w:t xml:space="preserve">3</w:t>
            </w:r>
            <w:r/>
          </w:p>
        </w:tc>
        <w:tc>
          <w:tcPr>
            <w:shd w:val="clear" w:color="auto" w:fill="ffffff"/>
            <w:tcBorders>
              <w:top w:val="single" w:color="cccccc" w:sz="1" w:space="0"/>
              <w:left w:val="single" w:color="cccccc" w:sz="1" w:space="0"/>
              <w:bottom w:val="single" w:color="cccccc" w:sz="1" w:space="0"/>
              <w:right w:val="single" w:color="cccccc" w:sz="1" w:space="0"/>
            </w:tcBorders>
            <w:tcMar>
              <w:left w:w="120" w:type="dxa"/>
              <w:top w:w="80" w:type="dxa"/>
              <w:right w:w="120" w:type="dxa"/>
              <w:bottom w:w="80" w:type="dxa"/>
            </w:tcMar>
            <w:tcW w:w="1800" w:type="dxa"/>
            <w:vAlign w:val="center"/>
          </w:tcPr>
          <w:p>
            <w:pPr>
              <w:pBdr/>
              <w:spacing w:after="0"/>
              <w:ind/>
              <w:jc w:val="left"/>
              <w:rPr/>
            </w:pPr>
            <w:r>
              <w:rPr>
                <w:rFonts w:ascii="Arial" w:hAnsi="Arial" w:eastAsia="Arial" w:cs="Arial"/>
                <w:b w:val="0"/>
                <w:bCs w:val="0"/>
                <w:color w:val="1a202c"/>
                <w:sz w:val="20"/>
                <w:szCs w:val="20"/>
              </w:rPr>
              <w:t xml:space="preserve">AveOccup</w:t>
            </w:r>
            <w:r/>
          </w:p>
        </w:tc>
        <w:tc>
          <w:tcPr>
            <w:shd w:val="clear" w:color="auto" w:fill="ffffff"/>
            <w:tcBorders>
              <w:top w:val="single" w:color="cccccc" w:sz="1" w:space="0"/>
              <w:left w:val="single" w:color="cccccc" w:sz="1" w:space="0"/>
              <w:bottom w:val="single" w:color="cccccc" w:sz="1" w:space="0"/>
              <w:right w:val="single" w:color="cccccc" w:sz="1" w:space="0"/>
            </w:tcBorders>
            <w:tcMar>
              <w:left w:w="120" w:type="dxa"/>
              <w:top w:w="80" w:type="dxa"/>
              <w:right w:w="120" w:type="dxa"/>
              <w:bottom w:w="80" w:type="dxa"/>
            </w:tcMar>
            <w:tcW w:w="1800" w:type="dxa"/>
            <w:vAlign w:val="center"/>
          </w:tcPr>
          <w:p>
            <w:pPr>
              <w:pBdr/>
              <w:spacing w:after="0"/>
              <w:ind/>
              <w:jc w:val="center"/>
              <w:rPr/>
            </w:pPr>
            <w:r>
              <w:rPr>
                <w:rFonts w:ascii="Arial" w:hAnsi="Arial" w:eastAsia="Arial" w:cs="Arial"/>
                <w:b w:val="0"/>
                <w:bCs w:val="0"/>
                <w:color w:val="1a202c"/>
                <w:sz w:val="20"/>
                <w:szCs w:val="20"/>
              </w:rPr>
              <w:t xml:space="preserve">0.24</w:t>
            </w:r>
            <w:r/>
          </w:p>
        </w:tc>
        <w:tc>
          <w:tcPr>
            <w:shd w:val="clear" w:color="auto" w:fill="ffffff"/>
            <w:tcBorders>
              <w:top w:val="single" w:color="cccccc" w:sz="1" w:space="0"/>
              <w:left w:val="single" w:color="cccccc" w:sz="1" w:space="0"/>
              <w:bottom w:val="single" w:color="cccccc" w:sz="1" w:space="0"/>
              <w:right w:val="single" w:color="cccccc" w:sz="1" w:space="0"/>
            </w:tcBorders>
            <w:tcMar>
              <w:left w:w="120" w:type="dxa"/>
              <w:top w:w="80" w:type="dxa"/>
              <w:right w:w="120" w:type="dxa"/>
              <w:bottom w:w="80" w:type="dxa"/>
            </w:tcMar>
            <w:tcW w:w="1800" w:type="dxa"/>
            <w:vAlign w:val="center"/>
          </w:tcPr>
          <w:p>
            <w:pPr>
              <w:pBdr/>
              <w:spacing w:after="0"/>
              <w:ind/>
              <w:jc w:val="center"/>
              <w:rPr/>
            </w:pPr>
            <w:r>
              <w:rPr>
                <w:rFonts w:ascii="Arial" w:hAnsi="Arial" w:eastAsia="Arial" w:cs="Arial"/>
                <w:b w:val="0"/>
                <w:bCs w:val="0"/>
                <w:color w:val="1a202c"/>
                <w:sz w:val="20"/>
                <w:szCs w:val="20"/>
              </w:rPr>
              <w:t xml:space="preserve">4</w:t>
            </w:r>
            <w:r/>
          </w:p>
        </w:tc>
        <w:tc>
          <w:tcPr>
            <w:shd w:val="clear" w:color="auto" w:fill="ffffff"/>
            <w:tcBorders>
              <w:top w:val="single" w:color="cccccc" w:sz="1" w:space="0"/>
              <w:left w:val="single" w:color="cccccc" w:sz="1" w:space="0"/>
              <w:bottom w:val="single" w:color="cccccc" w:sz="1" w:space="0"/>
              <w:right w:val="single" w:color="cccccc" w:sz="1" w:space="0"/>
            </w:tcBorders>
            <w:tcMar>
              <w:left w:w="120" w:type="dxa"/>
              <w:top w:w="80" w:type="dxa"/>
              <w:right w:w="120" w:type="dxa"/>
              <w:bottom w:w="80" w:type="dxa"/>
            </w:tcMar>
            <w:tcW w:w="2360" w:type="dxa"/>
            <w:vAlign w:val="center"/>
          </w:tcPr>
          <w:p>
            <w:pPr>
              <w:pBdr/>
              <w:spacing w:after="0"/>
              <w:ind/>
              <w:jc w:val="left"/>
              <w:rPr/>
            </w:pPr>
            <w:r>
              <w:rPr>
                <w:rFonts w:ascii="Arial" w:hAnsi="Arial" w:eastAsia="Arial" w:cs="Arial"/>
                <w:b w:val="0"/>
                <w:bCs w:val="0"/>
                <w:color w:val="1a202c"/>
                <w:sz w:val="20"/>
                <w:szCs w:val="20"/>
              </w:rPr>
              <w:t xml:space="preserve">Minor inversion</w:t>
            </w:r>
            <w:r/>
          </w:p>
        </w:tc>
      </w:tr>
      <w:tr>
        <w:trPr/>
        <w:tc>
          <w:tcPr>
            <w:shd w:val="clear" w:color="auto" w:fill="ffffff"/>
            <w:tcBorders>
              <w:top w:val="single" w:color="cccccc" w:sz="1" w:space="0"/>
              <w:left w:val="single" w:color="cccccc" w:sz="1" w:space="0"/>
              <w:bottom w:val="single" w:color="cccccc" w:sz="1" w:space="0"/>
              <w:right w:val="single" w:color="cccccc" w:sz="1" w:space="0"/>
            </w:tcBorders>
            <w:tcMar>
              <w:left w:w="120" w:type="dxa"/>
              <w:top w:w="80" w:type="dxa"/>
              <w:right w:w="120" w:type="dxa"/>
              <w:bottom w:w="80" w:type="dxa"/>
            </w:tcMar>
            <w:tcW w:w="1600" w:type="dxa"/>
            <w:vAlign w:val="center"/>
          </w:tcPr>
          <w:p>
            <w:pPr>
              <w:pBdr/>
              <w:spacing w:after="0"/>
              <w:ind/>
              <w:jc w:val="center"/>
              <w:rPr/>
            </w:pPr>
            <w:r>
              <w:rPr>
                <w:rFonts w:ascii="Arial" w:hAnsi="Arial" w:eastAsia="Arial" w:cs="Arial"/>
                <w:b w:val="0"/>
                <w:bCs w:val="0"/>
                <w:color w:val="1a202c"/>
                <w:sz w:val="20"/>
                <w:szCs w:val="20"/>
              </w:rPr>
              <w:t xml:space="preserve">4</w:t>
            </w:r>
            <w:r/>
          </w:p>
        </w:tc>
        <w:tc>
          <w:tcPr>
            <w:shd w:val="clear" w:color="auto" w:fill="ffffff"/>
            <w:tcBorders>
              <w:top w:val="single" w:color="cccccc" w:sz="1" w:space="0"/>
              <w:left w:val="single" w:color="cccccc" w:sz="1" w:space="0"/>
              <w:bottom w:val="single" w:color="cccccc" w:sz="1" w:space="0"/>
              <w:right w:val="single" w:color="cccccc" w:sz="1" w:space="0"/>
            </w:tcBorders>
            <w:tcMar>
              <w:left w:w="120" w:type="dxa"/>
              <w:top w:w="80" w:type="dxa"/>
              <w:right w:w="120" w:type="dxa"/>
              <w:bottom w:w="80" w:type="dxa"/>
            </w:tcMar>
            <w:tcW w:w="1800" w:type="dxa"/>
            <w:vAlign w:val="center"/>
          </w:tcPr>
          <w:p>
            <w:pPr>
              <w:pBdr/>
              <w:spacing w:after="0"/>
              <w:ind/>
              <w:jc w:val="left"/>
              <w:rPr/>
            </w:pPr>
            <w:r>
              <w:rPr>
                <w:rFonts w:ascii="Arial" w:hAnsi="Arial" w:eastAsia="Arial" w:cs="Arial"/>
                <w:b w:val="0"/>
                <w:bCs w:val="0"/>
                <w:color w:val="1a202c"/>
                <w:sz w:val="20"/>
                <w:szCs w:val="20"/>
              </w:rPr>
              <w:t xml:space="preserve">Longitude</w:t>
            </w:r>
            <w:r/>
          </w:p>
        </w:tc>
        <w:tc>
          <w:tcPr>
            <w:shd w:val="clear" w:color="auto" w:fill="ffffff"/>
            <w:tcBorders>
              <w:top w:val="single" w:color="cccccc" w:sz="1" w:space="0"/>
              <w:left w:val="single" w:color="cccccc" w:sz="1" w:space="0"/>
              <w:bottom w:val="single" w:color="cccccc" w:sz="1" w:space="0"/>
              <w:right w:val="single" w:color="cccccc" w:sz="1" w:space="0"/>
            </w:tcBorders>
            <w:tcMar>
              <w:left w:w="120" w:type="dxa"/>
              <w:top w:w="80" w:type="dxa"/>
              <w:right w:w="120" w:type="dxa"/>
              <w:bottom w:w="80" w:type="dxa"/>
            </w:tcMar>
            <w:tcW w:w="1800" w:type="dxa"/>
            <w:vAlign w:val="center"/>
          </w:tcPr>
          <w:p>
            <w:pPr>
              <w:pBdr/>
              <w:spacing w:after="0"/>
              <w:ind/>
              <w:jc w:val="center"/>
              <w:rPr/>
            </w:pPr>
            <w:r>
              <w:rPr>
                <w:rFonts w:ascii="Arial" w:hAnsi="Arial" w:eastAsia="Arial" w:cs="Arial"/>
                <w:b w:val="0"/>
                <w:bCs w:val="0"/>
                <w:color w:val="1a202c"/>
                <w:sz w:val="20"/>
                <w:szCs w:val="20"/>
              </w:rPr>
              <w:t xml:space="preserve">0.21</w:t>
            </w:r>
            <w:r/>
          </w:p>
        </w:tc>
        <w:tc>
          <w:tcPr>
            <w:shd w:val="clear" w:color="auto" w:fill="ffffff"/>
            <w:tcBorders>
              <w:top w:val="single" w:color="cccccc" w:sz="1" w:space="0"/>
              <w:left w:val="single" w:color="cccccc" w:sz="1" w:space="0"/>
              <w:bottom w:val="single" w:color="cccccc" w:sz="1" w:space="0"/>
              <w:right w:val="single" w:color="cccccc" w:sz="1" w:space="0"/>
            </w:tcBorders>
            <w:tcMar>
              <w:left w:w="120" w:type="dxa"/>
              <w:top w:w="80" w:type="dxa"/>
              <w:right w:w="120" w:type="dxa"/>
              <w:bottom w:w="80" w:type="dxa"/>
            </w:tcMar>
            <w:tcW w:w="1800" w:type="dxa"/>
            <w:vAlign w:val="center"/>
          </w:tcPr>
          <w:p>
            <w:pPr>
              <w:pBdr/>
              <w:spacing w:after="0"/>
              <w:ind/>
              <w:jc w:val="center"/>
              <w:rPr/>
            </w:pPr>
            <w:r>
              <w:rPr>
                <w:rFonts w:ascii="Arial" w:hAnsi="Arial" w:eastAsia="Arial" w:cs="Arial"/>
                <w:b w:val="0"/>
                <w:bCs w:val="0"/>
                <w:color w:val="1a202c"/>
                <w:sz w:val="20"/>
                <w:szCs w:val="20"/>
              </w:rPr>
              <w:t xml:space="preserve">3</w:t>
            </w:r>
            <w:r/>
          </w:p>
        </w:tc>
        <w:tc>
          <w:tcPr>
            <w:shd w:val="clear" w:color="auto" w:fill="ffffff"/>
            <w:tcBorders>
              <w:top w:val="single" w:color="cccccc" w:sz="1" w:space="0"/>
              <w:left w:val="single" w:color="cccccc" w:sz="1" w:space="0"/>
              <w:bottom w:val="single" w:color="cccccc" w:sz="1" w:space="0"/>
              <w:right w:val="single" w:color="cccccc" w:sz="1" w:space="0"/>
            </w:tcBorders>
            <w:tcMar>
              <w:left w:w="120" w:type="dxa"/>
              <w:top w:w="80" w:type="dxa"/>
              <w:right w:w="120" w:type="dxa"/>
              <w:bottom w:w="80" w:type="dxa"/>
            </w:tcMar>
            <w:tcW w:w="2360" w:type="dxa"/>
            <w:vAlign w:val="center"/>
          </w:tcPr>
          <w:p>
            <w:pPr>
              <w:pBdr/>
              <w:spacing w:after="0"/>
              <w:ind/>
              <w:jc w:val="left"/>
              <w:rPr/>
            </w:pPr>
            <w:r>
              <w:rPr>
                <w:rFonts w:ascii="Arial" w:hAnsi="Arial" w:eastAsia="Arial" w:cs="Arial"/>
                <w:b w:val="0"/>
                <w:bCs w:val="0"/>
                <w:color w:val="1a202c"/>
                <w:sz w:val="20"/>
                <w:szCs w:val="20"/>
              </w:rPr>
              <w:t xml:space="preserve">Minor inversion</w:t>
            </w:r>
            <w:r/>
          </w:p>
        </w:tc>
      </w:tr>
      <w:tr>
        <w:trPr/>
        <w:tc>
          <w:tcPr>
            <w:shd w:val="clear" w:color="auto" w:fill="ffffff"/>
            <w:tcBorders>
              <w:top w:val="single" w:color="cccccc" w:sz="1" w:space="0"/>
              <w:left w:val="single" w:color="cccccc" w:sz="1" w:space="0"/>
              <w:bottom w:val="single" w:color="cccccc" w:sz="1" w:space="0"/>
              <w:right w:val="single" w:color="cccccc" w:sz="1" w:space="0"/>
            </w:tcBorders>
            <w:tcMar>
              <w:left w:w="120" w:type="dxa"/>
              <w:top w:w="80" w:type="dxa"/>
              <w:right w:w="120" w:type="dxa"/>
              <w:bottom w:w="80" w:type="dxa"/>
            </w:tcMar>
            <w:tcW w:w="1600" w:type="dxa"/>
            <w:vAlign w:val="center"/>
          </w:tcPr>
          <w:p>
            <w:pPr>
              <w:pBdr/>
              <w:spacing w:after="0"/>
              <w:ind/>
              <w:jc w:val="center"/>
              <w:rPr/>
            </w:pPr>
            <w:r>
              <w:rPr>
                <w:rFonts w:ascii="Arial" w:hAnsi="Arial" w:eastAsia="Arial" w:cs="Arial"/>
                <w:b w:val="0"/>
                <w:bCs w:val="0"/>
                <w:color w:val="1a202c"/>
                <w:sz w:val="20"/>
                <w:szCs w:val="20"/>
              </w:rPr>
              <w:t xml:space="preserve">5</w:t>
            </w:r>
            <w:r/>
          </w:p>
        </w:tc>
        <w:tc>
          <w:tcPr>
            <w:shd w:val="clear" w:color="auto" w:fill="ffffff"/>
            <w:tcBorders>
              <w:top w:val="single" w:color="cccccc" w:sz="1" w:space="0"/>
              <w:left w:val="single" w:color="cccccc" w:sz="1" w:space="0"/>
              <w:bottom w:val="single" w:color="cccccc" w:sz="1" w:space="0"/>
              <w:right w:val="single" w:color="cccccc" w:sz="1" w:space="0"/>
            </w:tcBorders>
            <w:tcMar>
              <w:left w:w="120" w:type="dxa"/>
              <w:top w:w="80" w:type="dxa"/>
              <w:right w:w="120" w:type="dxa"/>
              <w:bottom w:w="80" w:type="dxa"/>
            </w:tcMar>
            <w:tcW w:w="1800" w:type="dxa"/>
            <w:vAlign w:val="center"/>
          </w:tcPr>
          <w:p>
            <w:pPr>
              <w:pBdr/>
              <w:spacing w:after="0"/>
              <w:ind/>
              <w:jc w:val="left"/>
              <w:rPr/>
            </w:pPr>
            <w:r>
              <w:rPr>
                <w:rFonts w:ascii="Arial" w:hAnsi="Arial" w:eastAsia="Arial" w:cs="Arial"/>
                <w:b w:val="0"/>
                <w:bCs w:val="0"/>
                <w:color w:val="1a202c"/>
                <w:sz w:val="20"/>
                <w:szCs w:val="20"/>
              </w:rPr>
              <w:t xml:space="preserve">HouseAge</w:t>
            </w:r>
            <w:r/>
          </w:p>
        </w:tc>
        <w:tc>
          <w:tcPr>
            <w:shd w:val="clear" w:color="auto" w:fill="ffffff"/>
            <w:tcBorders>
              <w:top w:val="single" w:color="cccccc" w:sz="1" w:space="0"/>
              <w:left w:val="single" w:color="cccccc" w:sz="1" w:space="0"/>
              <w:bottom w:val="single" w:color="cccccc" w:sz="1" w:space="0"/>
              <w:right w:val="single" w:color="cccccc" w:sz="1" w:space="0"/>
            </w:tcBorders>
            <w:tcMar>
              <w:left w:w="120" w:type="dxa"/>
              <w:top w:w="80" w:type="dxa"/>
              <w:right w:w="120" w:type="dxa"/>
              <w:bottom w:w="80" w:type="dxa"/>
            </w:tcMar>
            <w:tcW w:w="1800" w:type="dxa"/>
            <w:vAlign w:val="center"/>
          </w:tcPr>
          <w:p>
            <w:pPr>
              <w:pBdr/>
              <w:spacing w:after="0"/>
              <w:ind/>
              <w:jc w:val="center"/>
              <w:rPr/>
            </w:pPr>
            <w:r>
              <w:rPr>
                <w:rFonts w:ascii="Arial" w:hAnsi="Arial" w:eastAsia="Arial" w:cs="Arial"/>
                <w:b w:val="0"/>
                <w:bCs w:val="0"/>
                <w:color w:val="1a202c"/>
                <w:sz w:val="20"/>
                <w:szCs w:val="20"/>
              </w:rPr>
              <w:t xml:space="preserve">0.08</w:t>
            </w:r>
            <w:r/>
          </w:p>
        </w:tc>
        <w:tc>
          <w:tcPr>
            <w:shd w:val="clear" w:color="auto" w:fill="ffffff"/>
            <w:tcBorders>
              <w:top w:val="single" w:color="cccccc" w:sz="1" w:space="0"/>
              <w:left w:val="single" w:color="cccccc" w:sz="1" w:space="0"/>
              <w:bottom w:val="single" w:color="cccccc" w:sz="1" w:space="0"/>
              <w:right w:val="single" w:color="cccccc" w:sz="1" w:space="0"/>
            </w:tcBorders>
            <w:tcMar>
              <w:left w:w="120" w:type="dxa"/>
              <w:top w:w="80" w:type="dxa"/>
              <w:right w:w="120" w:type="dxa"/>
              <w:bottom w:w="80" w:type="dxa"/>
            </w:tcMar>
            <w:tcW w:w="1800" w:type="dxa"/>
            <w:vAlign w:val="center"/>
          </w:tcPr>
          <w:p>
            <w:pPr>
              <w:pBdr/>
              <w:spacing w:after="0"/>
              <w:ind/>
              <w:jc w:val="center"/>
              <w:rPr/>
            </w:pPr>
            <w:r>
              <w:rPr>
                <w:rFonts w:ascii="Arial" w:hAnsi="Arial" w:eastAsia="Arial" w:cs="Arial"/>
                <w:b w:val="0"/>
                <w:bCs w:val="0"/>
                <w:color w:val="1a202c"/>
                <w:sz w:val="20"/>
                <w:szCs w:val="20"/>
              </w:rPr>
              <w:t xml:space="preserve">5</w:t>
            </w:r>
            <w:r/>
          </w:p>
        </w:tc>
        <w:tc>
          <w:tcPr>
            <w:shd w:val="clear" w:color="auto" w:fill="ffffff"/>
            <w:tcBorders>
              <w:top w:val="single" w:color="cccccc" w:sz="1" w:space="0"/>
              <w:left w:val="single" w:color="cccccc" w:sz="1" w:space="0"/>
              <w:bottom w:val="single" w:color="cccccc" w:sz="1" w:space="0"/>
              <w:right w:val="single" w:color="cccccc" w:sz="1" w:space="0"/>
            </w:tcBorders>
            <w:tcMar>
              <w:left w:w="120" w:type="dxa"/>
              <w:top w:w="80" w:type="dxa"/>
              <w:right w:w="120" w:type="dxa"/>
              <w:bottom w:w="80" w:type="dxa"/>
            </w:tcMar>
            <w:tcW w:w="2360" w:type="dxa"/>
            <w:vAlign w:val="center"/>
          </w:tcPr>
          <w:p>
            <w:pPr>
              <w:pBdr/>
              <w:spacing w:after="0"/>
              <w:ind/>
              <w:jc w:val="left"/>
              <w:rPr/>
            </w:pPr>
            <w:r>
              <w:rPr>
                <w:rFonts w:ascii="Arial" w:hAnsi="Arial" w:eastAsia="Arial" w:cs="Arial"/>
                <w:b w:val="0"/>
                <w:bCs w:val="0"/>
                <w:color w:val="1a202c"/>
                <w:sz w:val="20"/>
                <w:szCs w:val="20"/>
              </w:rPr>
              <w:t xml:space="preserve">Exact match</w:t>
            </w:r>
            <w:r/>
          </w:p>
        </w:tc>
      </w:tr>
      <w:tr>
        <w:trPr/>
        <w:tc>
          <w:tcPr>
            <w:shd w:val="clear" w:color="auto" w:fill="ffffff"/>
            <w:tcBorders>
              <w:top w:val="single" w:color="cccccc" w:sz="1" w:space="0"/>
              <w:left w:val="single" w:color="cccccc" w:sz="1" w:space="0"/>
              <w:bottom w:val="single" w:color="cccccc" w:sz="1" w:space="0"/>
              <w:right w:val="single" w:color="cccccc" w:sz="1" w:space="0"/>
            </w:tcBorders>
            <w:tcMar>
              <w:left w:w="120" w:type="dxa"/>
              <w:top w:w="80" w:type="dxa"/>
              <w:right w:w="120" w:type="dxa"/>
              <w:bottom w:w="80" w:type="dxa"/>
            </w:tcMar>
            <w:tcW w:w="1600" w:type="dxa"/>
            <w:vAlign w:val="center"/>
          </w:tcPr>
          <w:p>
            <w:pPr>
              <w:pBdr/>
              <w:spacing w:after="0"/>
              <w:ind/>
              <w:jc w:val="center"/>
              <w:rPr/>
            </w:pPr>
            <w:r>
              <w:rPr>
                <w:rFonts w:ascii="Arial" w:hAnsi="Arial" w:eastAsia="Arial" w:cs="Arial"/>
                <w:b w:val="0"/>
                <w:bCs w:val="0"/>
                <w:color w:val="1a202c"/>
                <w:sz w:val="20"/>
                <w:szCs w:val="20"/>
              </w:rPr>
              <w:t xml:space="preserve">6</w:t>
            </w:r>
            <w:r/>
          </w:p>
        </w:tc>
        <w:tc>
          <w:tcPr>
            <w:shd w:val="clear" w:color="auto" w:fill="ffffff"/>
            <w:tcBorders>
              <w:top w:val="single" w:color="cccccc" w:sz="1" w:space="0"/>
              <w:left w:val="single" w:color="cccccc" w:sz="1" w:space="0"/>
              <w:bottom w:val="single" w:color="cccccc" w:sz="1" w:space="0"/>
              <w:right w:val="single" w:color="cccccc" w:sz="1" w:space="0"/>
            </w:tcBorders>
            <w:tcMar>
              <w:left w:w="120" w:type="dxa"/>
              <w:top w:w="80" w:type="dxa"/>
              <w:right w:w="120" w:type="dxa"/>
              <w:bottom w:w="80" w:type="dxa"/>
            </w:tcMar>
            <w:tcW w:w="1800" w:type="dxa"/>
            <w:vAlign w:val="center"/>
          </w:tcPr>
          <w:p>
            <w:pPr>
              <w:pBdr/>
              <w:spacing w:after="0"/>
              <w:ind/>
              <w:jc w:val="left"/>
              <w:rPr/>
            </w:pPr>
            <w:r>
              <w:rPr>
                <w:rFonts w:ascii="Arial" w:hAnsi="Arial" w:eastAsia="Arial" w:cs="Arial"/>
                <w:b w:val="0"/>
                <w:bCs w:val="0"/>
                <w:color w:val="1a202c"/>
                <w:sz w:val="20"/>
                <w:szCs w:val="20"/>
              </w:rPr>
              <w:t xml:space="preserve">AveRooms</w:t>
            </w:r>
            <w:r/>
          </w:p>
        </w:tc>
        <w:tc>
          <w:tcPr>
            <w:shd w:val="clear" w:color="auto" w:fill="ffffff"/>
            <w:tcBorders>
              <w:top w:val="single" w:color="cccccc" w:sz="1" w:space="0"/>
              <w:left w:val="single" w:color="cccccc" w:sz="1" w:space="0"/>
              <w:bottom w:val="single" w:color="cccccc" w:sz="1" w:space="0"/>
              <w:right w:val="single" w:color="cccccc" w:sz="1" w:space="0"/>
            </w:tcBorders>
            <w:tcMar>
              <w:left w:w="120" w:type="dxa"/>
              <w:top w:w="80" w:type="dxa"/>
              <w:right w:w="120" w:type="dxa"/>
              <w:bottom w:w="80" w:type="dxa"/>
            </w:tcMar>
            <w:tcW w:w="1800" w:type="dxa"/>
            <w:vAlign w:val="center"/>
          </w:tcPr>
          <w:p>
            <w:pPr>
              <w:pBdr/>
              <w:spacing w:after="0"/>
              <w:ind/>
              <w:jc w:val="center"/>
              <w:rPr/>
            </w:pPr>
            <w:r>
              <w:rPr>
                <w:rFonts w:ascii="Arial" w:hAnsi="Arial" w:eastAsia="Arial" w:cs="Arial"/>
                <w:b w:val="0"/>
                <w:bCs w:val="0"/>
                <w:color w:val="1a202c"/>
                <w:sz w:val="20"/>
                <w:szCs w:val="20"/>
              </w:rPr>
              <w:t xml:space="preserve">0.05</w:t>
            </w:r>
            <w:r/>
          </w:p>
        </w:tc>
        <w:tc>
          <w:tcPr>
            <w:shd w:val="clear" w:color="auto" w:fill="ffffff"/>
            <w:tcBorders>
              <w:top w:val="single" w:color="cccccc" w:sz="1" w:space="0"/>
              <w:left w:val="single" w:color="cccccc" w:sz="1" w:space="0"/>
              <w:bottom w:val="single" w:color="cccccc" w:sz="1" w:space="0"/>
              <w:right w:val="single" w:color="cccccc" w:sz="1" w:space="0"/>
            </w:tcBorders>
            <w:tcMar>
              <w:left w:w="120" w:type="dxa"/>
              <w:top w:w="80" w:type="dxa"/>
              <w:right w:w="120" w:type="dxa"/>
              <w:bottom w:w="80" w:type="dxa"/>
            </w:tcMar>
            <w:tcW w:w="1800" w:type="dxa"/>
            <w:vAlign w:val="center"/>
          </w:tcPr>
          <w:p>
            <w:pPr>
              <w:pBdr/>
              <w:spacing w:after="0"/>
              <w:ind/>
              <w:jc w:val="center"/>
              <w:rPr/>
            </w:pPr>
            <w:r>
              <w:rPr>
                <w:rFonts w:ascii="Arial" w:hAnsi="Arial" w:eastAsia="Arial" w:cs="Arial"/>
                <w:b w:val="0"/>
                <w:bCs w:val="0"/>
                <w:color w:val="1a202c"/>
                <w:sz w:val="20"/>
                <w:szCs w:val="20"/>
              </w:rPr>
              <w:t xml:space="preserve">7</w:t>
            </w:r>
            <w:r/>
          </w:p>
        </w:tc>
        <w:tc>
          <w:tcPr>
            <w:shd w:val="clear" w:color="auto" w:fill="ffffff"/>
            <w:tcBorders>
              <w:top w:val="single" w:color="cccccc" w:sz="1" w:space="0"/>
              <w:left w:val="single" w:color="cccccc" w:sz="1" w:space="0"/>
              <w:bottom w:val="single" w:color="cccccc" w:sz="1" w:space="0"/>
              <w:right w:val="single" w:color="cccccc" w:sz="1" w:space="0"/>
            </w:tcBorders>
            <w:tcMar>
              <w:left w:w="120" w:type="dxa"/>
              <w:top w:w="80" w:type="dxa"/>
              <w:right w:w="120" w:type="dxa"/>
              <w:bottom w:w="80" w:type="dxa"/>
            </w:tcMar>
            <w:tcW w:w="2360" w:type="dxa"/>
            <w:vAlign w:val="center"/>
          </w:tcPr>
          <w:p>
            <w:pPr>
              <w:pBdr/>
              <w:spacing w:after="0"/>
              <w:ind/>
              <w:jc w:val="left"/>
              <w:rPr/>
            </w:pPr>
            <w:r>
              <w:rPr>
                <w:rFonts w:ascii="Arial" w:hAnsi="Arial" w:eastAsia="Arial" w:cs="Arial"/>
                <w:b w:val="0"/>
                <w:bCs w:val="0"/>
                <w:color w:val="1a202c"/>
                <w:sz w:val="20"/>
                <w:szCs w:val="20"/>
              </w:rPr>
              <w:t xml:space="preserve">Minor inversion</w:t>
            </w:r>
            <w:r/>
          </w:p>
        </w:tc>
      </w:tr>
      <w:tr>
        <w:trPr/>
        <w:tc>
          <w:tcPr>
            <w:shd w:val="clear" w:color="auto" w:fill="ffffff"/>
            <w:tcBorders>
              <w:top w:val="single" w:color="cccccc" w:sz="1" w:space="0"/>
              <w:left w:val="single" w:color="cccccc" w:sz="1" w:space="0"/>
              <w:bottom w:val="single" w:color="cccccc" w:sz="1" w:space="0"/>
              <w:right w:val="single" w:color="cccccc" w:sz="1" w:space="0"/>
            </w:tcBorders>
            <w:tcMar>
              <w:left w:w="120" w:type="dxa"/>
              <w:top w:w="80" w:type="dxa"/>
              <w:right w:w="120" w:type="dxa"/>
              <w:bottom w:w="80" w:type="dxa"/>
            </w:tcMar>
            <w:tcW w:w="1600" w:type="dxa"/>
            <w:vAlign w:val="center"/>
          </w:tcPr>
          <w:p>
            <w:pPr>
              <w:pBdr/>
              <w:spacing w:after="0"/>
              <w:ind/>
              <w:jc w:val="center"/>
              <w:rPr/>
            </w:pPr>
            <w:r>
              <w:rPr>
                <w:rFonts w:ascii="Arial" w:hAnsi="Arial" w:eastAsia="Arial" w:cs="Arial"/>
                <w:b w:val="0"/>
                <w:bCs w:val="0"/>
                <w:color w:val="1a202c"/>
                <w:sz w:val="20"/>
                <w:szCs w:val="20"/>
              </w:rPr>
              <w:t xml:space="preserve">7</w:t>
            </w:r>
            <w:r/>
          </w:p>
        </w:tc>
        <w:tc>
          <w:tcPr>
            <w:shd w:val="clear" w:color="auto" w:fill="ffffff"/>
            <w:tcBorders>
              <w:top w:val="single" w:color="cccccc" w:sz="1" w:space="0"/>
              <w:left w:val="single" w:color="cccccc" w:sz="1" w:space="0"/>
              <w:bottom w:val="single" w:color="cccccc" w:sz="1" w:space="0"/>
              <w:right w:val="single" w:color="cccccc" w:sz="1" w:space="0"/>
            </w:tcBorders>
            <w:tcMar>
              <w:left w:w="120" w:type="dxa"/>
              <w:top w:w="80" w:type="dxa"/>
              <w:right w:w="120" w:type="dxa"/>
              <w:bottom w:w="80" w:type="dxa"/>
            </w:tcMar>
            <w:tcW w:w="1800" w:type="dxa"/>
            <w:vAlign w:val="center"/>
          </w:tcPr>
          <w:p>
            <w:pPr>
              <w:pBdr/>
              <w:spacing w:after="0"/>
              <w:ind/>
              <w:jc w:val="left"/>
              <w:rPr/>
            </w:pPr>
            <w:r>
              <w:rPr>
                <w:rFonts w:ascii="Arial" w:hAnsi="Arial" w:eastAsia="Arial" w:cs="Arial"/>
                <w:b w:val="0"/>
                <w:bCs w:val="0"/>
                <w:color w:val="1a202c"/>
                <w:sz w:val="20"/>
                <w:szCs w:val="20"/>
              </w:rPr>
              <w:t xml:space="preserve">AveBedrms</w:t>
            </w:r>
            <w:r/>
          </w:p>
        </w:tc>
        <w:tc>
          <w:tcPr>
            <w:shd w:val="clear" w:color="auto" w:fill="ffffff"/>
            <w:tcBorders>
              <w:top w:val="single" w:color="cccccc" w:sz="1" w:space="0"/>
              <w:left w:val="single" w:color="cccccc" w:sz="1" w:space="0"/>
              <w:bottom w:val="single" w:color="cccccc" w:sz="1" w:space="0"/>
              <w:right w:val="single" w:color="cccccc" w:sz="1" w:space="0"/>
            </w:tcBorders>
            <w:tcMar>
              <w:left w:w="120" w:type="dxa"/>
              <w:top w:w="80" w:type="dxa"/>
              <w:right w:w="120" w:type="dxa"/>
              <w:bottom w:w="80" w:type="dxa"/>
            </w:tcMar>
            <w:tcW w:w="1800" w:type="dxa"/>
            <w:vAlign w:val="center"/>
          </w:tcPr>
          <w:p>
            <w:pPr>
              <w:pBdr/>
              <w:spacing w:after="0"/>
              <w:ind/>
              <w:jc w:val="center"/>
              <w:rPr/>
            </w:pPr>
            <w:r>
              <w:rPr>
                <w:rFonts w:ascii="Arial" w:hAnsi="Arial" w:eastAsia="Arial" w:cs="Arial"/>
                <w:b w:val="0"/>
                <w:bCs w:val="0"/>
                <w:color w:val="1a202c"/>
                <w:sz w:val="20"/>
                <w:szCs w:val="20"/>
              </w:rPr>
              <w:t xml:space="preserve">0.03</w:t>
            </w:r>
            <w:r/>
          </w:p>
        </w:tc>
        <w:tc>
          <w:tcPr>
            <w:shd w:val="clear" w:color="auto" w:fill="ffffff"/>
            <w:tcBorders>
              <w:top w:val="single" w:color="cccccc" w:sz="1" w:space="0"/>
              <w:left w:val="single" w:color="cccccc" w:sz="1" w:space="0"/>
              <w:bottom w:val="single" w:color="cccccc" w:sz="1" w:space="0"/>
              <w:right w:val="single" w:color="cccccc" w:sz="1" w:space="0"/>
            </w:tcBorders>
            <w:tcMar>
              <w:left w:w="120" w:type="dxa"/>
              <w:top w:w="80" w:type="dxa"/>
              <w:right w:w="120" w:type="dxa"/>
              <w:bottom w:w="80" w:type="dxa"/>
            </w:tcMar>
            <w:tcW w:w="1800" w:type="dxa"/>
            <w:vAlign w:val="center"/>
          </w:tcPr>
          <w:p>
            <w:pPr>
              <w:pBdr/>
              <w:spacing w:after="0"/>
              <w:ind/>
              <w:jc w:val="center"/>
              <w:rPr/>
            </w:pPr>
            <w:r>
              <w:rPr>
                <w:rFonts w:ascii="Arial" w:hAnsi="Arial" w:eastAsia="Arial" w:cs="Arial"/>
                <w:b w:val="0"/>
                <w:bCs w:val="0"/>
                <w:color w:val="1a202c"/>
                <w:sz w:val="20"/>
                <w:szCs w:val="20"/>
              </w:rPr>
              <w:t xml:space="preserve">6</w:t>
            </w:r>
            <w:r/>
          </w:p>
        </w:tc>
        <w:tc>
          <w:tcPr>
            <w:shd w:val="clear" w:color="auto" w:fill="ffffff"/>
            <w:tcBorders>
              <w:top w:val="single" w:color="cccccc" w:sz="1" w:space="0"/>
              <w:left w:val="single" w:color="cccccc" w:sz="1" w:space="0"/>
              <w:bottom w:val="single" w:color="cccccc" w:sz="1" w:space="0"/>
              <w:right w:val="single" w:color="cccccc" w:sz="1" w:space="0"/>
            </w:tcBorders>
            <w:tcMar>
              <w:left w:w="120" w:type="dxa"/>
              <w:top w:w="80" w:type="dxa"/>
              <w:right w:w="120" w:type="dxa"/>
              <w:bottom w:w="80" w:type="dxa"/>
            </w:tcMar>
            <w:tcW w:w="2360" w:type="dxa"/>
            <w:vAlign w:val="center"/>
          </w:tcPr>
          <w:p>
            <w:pPr>
              <w:pBdr/>
              <w:spacing w:after="0"/>
              <w:ind/>
              <w:jc w:val="left"/>
              <w:rPr/>
            </w:pPr>
            <w:r>
              <w:rPr>
                <w:rFonts w:ascii="Arial" w:hAnsi="Arial" w:eastAsia="Arial" w:cs="Arial"/>
                <w:b w:val="0"/>
                <w:bCs w:val="0"/>
                <w:color w:val="1a202c"/>
                <w:sz w:val="20"/>
                <w:szCs w:val="20"/>
              </w:rPr>
              <w:t xml:space="preserve">Minor inversion</w:t>
            </w:r>
            <w:r/>
          </w:p>
        </w:tc>
      </w:tr>
      <w:tr>
        <w:trPr/>
        <w:tc>
          <w:tcPr>
            <w:shd w:val="clear" w:color="auto" w:fill="ffffff"/>
            <w:tcBorders>
              <w:top w:val="single" w:color="cccccc" w:sz="1" w:space="0"/>
              <w:left w:val="single" w:color="cccccc" w:sz="1" w:space="0"/>
              <w:bottom w:val="single" w:color="cccccc" w:sz="1" w:space="0"/>
              <w:right w:val="single" w:color="cccccc" w:sz="1" w:space="0"/>
            </w:tcBorders>
            <w:tcMar>
              <w:left w:w="120" w:type="dxa"/>
              <w:top w:w="80" w:type="dxa"/>
              <w:right w:w="120" w:type="dxa"/>
              <w:bottom w:w="80" w:type="dxa"/>
            </w:tcMar>
            <w:tcW w:w="1600" w:type="dxa"/>
            <w:vAlign w:val="center"/>
          </w:tcPr>
          <w:p>
            <w:pPr>
              <w:pBdr/>
              <w:spacing w:after="0"/>
              <w:ind/>
              <w:jc w:val="center"/>
              <w:rPr/>
            </w:pPr>
            <w:r>
              <w:rPr>
                <w:rFonts w:ascii="Arial" w:hAnsi="Arial" w:eastAsia="Arial" w:cs="Arial"/>
                <w:b w:val="0"/>
                <w:bCs w:val="0"/>
                <w:color w:val="1a202c"/>
                <w:sz w:val="20"/>
                <w:szCs w:val="20"/>
              </w:rPr>
              <w:t xml:space="preserve">8</w:t>
            </w:r>
            <w:r/>
          </w:p>
        </w:tc>
        <w:tc>
          <w:tcPr>
            <w:shd w:val="clear" w:color="auto" w:fill="ffffff"/>
            <w:tcBorders>
              <w:top w:val="single" w:color="cccccc" w:sz="1" w:space="0"/>
              <w:left w:val="single" w:color="cccccc" w:sz="1" w:space="0"/>
              <w:bottom w:val="single" w:color="cccccc" w:sz="1" w:space="0"/>
              <w:right w:val="single" w:color="cccccc" w:sz="1" w:space="0"/>
            </w:tcBorders>
            <w:tcMar>
              <w:left w:w="120" w:type="dxa"/>
              <w:top w:w="80" w:type="dxa"/>
              <w:right w:w="120" w:type="dxa"/>
              <w:bottom w:w="80" w:type="dxa"/>
            </w:tcMar>
            <w:tcW w:w="1800" w:type="dxa"/>
            <w:vAlign w:val="center"/>
          </w:tcPr>
          <w:p>
            <w:pPr>
              <w:pBdr/>
              <w:spacing w:after="0"/>
              <w:ind/>
              <w:jc w:val="left"/>
              <w:rPr/>
            </w:pPr>
            <w:r>
              <w:rPr>
                <w:rFonts w:ascii="Arial" w:hAnsi="Arial" w:eastAsia="Arial" w:cs="Arial"/>
                <w:b w:val="0"/>
                <w:bCs w:val="0"/>
                <w:color w:val="1a202c"/>
                <w:sz w:val="20"/>
                <w:szCs w:val="20"/>
              </w:rPr>
              <w:t xml:space="preserve">Population</w:t>
            </w:r>
            <w:r/>
          </w:p>
        </w:tc>
        <w:tc>
          <w:tcPr>
            <w:shd w:val="clear" w:color="auto" w:fill="ffffff"/>
            <w:tcBorders>
              <w:top w:val="single" w:color="cccccc" w:sz="1" w:space="0"/>
              <w:left w:val="single" w:color="cccccc" w:sz="1" w:space="0"/>
              <w:bottom w:val="single" w:color="cccccc" w:sz="1" w:space="0"/>
              <w:right w:val="single" w:color="cccccc" w:sz="1" w:space="0"/>
            </w:tcBorders>
            <w:tcMar>
              <w:left w:w="120" w:type="dxa"/>
              <w:top w:w="80" w:type="dxa"/>
              <w:right w:w="120" w:type="dxa"/>
              <w:bottom w:w="80" w:type="dxa"/>
            </w:tcMar>
            <w:tcW w:w="1800" w:type="dxa"/>
            <w:vAlign w:val="center"/>
          </w:tcPr>
          <w:p>
            <w:pPr>
              <w:pBdr/>
              <w:spacing w:after="0"/>
              <w:ind/>
              <w:jc w:val="center"/>
              <w:rPr/>
            </w:pPr>
            <w:r>
              <w:rPr>
                <w:rFonts w:ascii="Arial" w:hAnsi="Arial" w:eastAsia="Arial" w:cs="Arial"/>
                <w:b w:val="0"/>
                <w:bCs w:val="0"/>
                <w:color w:val="1a202c"/>
                <w:sz w:val="20"/>
                <w:szCs w:val="20"/>
              </w:rPr>
              <w:t xml:space="preserve">0.02</w:t>
            </w:r>
            <w:r/>
          </w:p>
        </w:tc>
        <w:tc>
          <w:tcPr>
            <w:shd w:val="clear" w:color="auto" w:fill="ffffff"/>
            <w:tcBorders>
              <w:top w:val="single" w:color="cccccc" w:sz="1" w:space="0"/>
              <w:left w:val="single" w:color="cccccc" w:sz="1" w:space="0"/>
              <w:bottom w:val="single" w:color="cccccc" w:sz="1" w:space="0"/>
              <w:right w:val="single" w:color="cccccc" w:sz="1" w:space="0"/>
            </w:tcBorders>
            <w:tcMar>
              <w:left w:w="120" w:type="dxa"/>
              <w:top w:w="80" w:type="dxa"/>
              <w:right w:w="120" w:type="dxa"/>
              <w:bottom w:w="80" w:type="dxa"/>
            </w:tcMar>
            <w:tcW w:w="1800" w:type="dxa"/>
            <w:vAlign w:val="center"/>
          </w:tcPr>
          <w:p>
            <w:pPr>
              <w:pBdr/>
              <w:spacing w:after="0"/>
              <w:ind/>
              <w:jc w:val="center"/>
              <w:rPr/>
            </w:pPr>
            <w:r>
              <w:rPr>
                <w:rFonts w:ascii="Arial" w:hAnsi="Arial" w:eastAsia="Arial" w:cs="Arial"/>
                <w:b w:val="0"/>
                <w:bCs w:val="0"/>
                <w:color w:val="1a202c"/>
                <w:sz w:val="20"/>
                <w:szCs w:val="20"/>
              </w:rPr>
              <w:t xml:space="preserve">8</w:t>
            </w:r>
            <w:r/>
          </w:p>
        </w:tc>
        <w:tc>
          <w:tcPr>
            <w:shd w:val="clear" w:color="auto" w:fill="ffffff"/>
            <w:tcBorders>
              <w:top w:val="single" w:color="cccccc" w:sz="1" w:space="0"/>
              <w:left w:val="single" w:color="cccccc" w:sz="1" w:space="0"/>
              <w:bottom w:val="single" w:color="cccccc" w:sz="1" w:space="0"/>
              <w:right w:val="single" w:color="cccccc" w:sz="1" w:space="0"/>
            </w:tcBorders>
            <w:tcMar>
              <w:left w:w="120" w:type="dxa"/>
              <w:top w:w="80" w:type="dxa"/>
              <w:right w:w="120" w:type="dxa"/>
              <w:bottom w:w="80" w:type="dxa"/>
            </w:tcMar>
            <w:tcW w:w="2360" w:type="dxa"/>
            <w:vAlign w:val="center"/>
          </w:tcPr>
          <w:p>
            <w:pPr>
              <w:pBdr/>
              <w:spacing w:after="0"/>
              <w:ind/>
              <w:jc w:val="left"/>
              <w:rPr/>
            </w:pPr>
            <w:r>
              <w:rPr>
                <w:rFonts w:ascii="Arial" w:hAnsi="Arial" w:eastAsia="Arial" w:cs="Arial"/>
                <w:b w:val="0"/>
                <w:bCs w:val="0"/>
                <w:color w:val="1a202c"/>
                <w:sz w:val="20"/>
                <w:szCs w:val="20"/>
              </w:rPr>
              <w:t xml:space="preserve">Exact match</w:t>
            </w:r>
            <w:r/>
          </w:p>
        </w:tc>
      </w:tr>
    </w:tbl>
    <w:p>
      <w:pPr>
        <w:pBdr/>
        <w:spacing w:after="240" w:before="80"/>
        <w:ind/>
        <w:jc w:val="center"/>
        <w:rPr/>
      </w:pPr>
      <w:r>
        <w:rPr>
          <w:rFonts w:ascii="Arial" w:hAnsi="Arial" w:eastAsia="Arial" w:cs="Arial"/>
          <w:i/>
          <w:iCs/>
          <w:color w:val="4a5568"/>
          <w:sz w:val="20"/>
          <w:szCs w:val="20"/>
        </w:rPr>
        <w:t xml:space="preserve">Table 3. Feature attribution ranking by mean |SHAP| for the Random Forest. LIME rankings shown for comparison.</w:t>
      </w:r>
      <w:r/>
    </w:p>
    <w:p>
      <w:pPr>
        <w:pBdr/>
        <w:spacing w:after="160" w:line="276" w:lineRule="auto"/>
        <w:ind/>
        <w:jc w:val="both"/>
        <w:rPr/>
      </w:pPr>
      <w:r>
        <w:rPr>
          <w:rFonts w:ascii="Times New Roman" w:hAnsi="Times New Roman" w:eastAsia="Times New Roman" w:cs="Times New Roman"/>
          <w:sz w:val="24"/>
          <w:szCs w:val="24"/>
        </w:rPr>
        <w:t xml:space="preserve">It is also notable that LIME assigns systematically larger absolute attribution values to geographic features than SHAP does: mean |LIME| for </w:t>
      </w:r>
      <w:r>
        <w:rPr>
          <w:rFonts w:ascii="Times New Roman" w:hAnsi="Times New Roman" w:eastAsia="Times New Roman" w:cs="Times New Roman"/>
          <w:sz w:val="24"/>
          <w:szCs w:val="24"/>
        </w:rPr>
        <w:t xml:space="preserve">Latitude is 0.4524, compared to mean |SHAP| of 0.2601; for Longitude, 0.3411 vs 0.2116. This suggests LIME’s local linear approximation may be attributing to geography some of the explanatory weight that TreeSHAP distributes more precisely across features.</w:t>
      </w:r>
      <w:r/>
    </w:p>
    <w:p>
      <w:pPr>
        <w:pStyle w:val="745"/>
        <w:pBdr/>
        <w:spacing/>
        <w:ind/>
        <w:rPr/>
      </w:pPr>
      <w:r>
        <w:t xml:space="preserve">4.3 Hypothesis H2: Geographic Clustering</w:t>
      </w:r>
      <w:r/>
    </w:p>
    <w:p>
      <w:pPr>
        <w:pBdr/>
        <w:spacing w:after="160" w:line="276" w:lineRule="auto"/>
        <w:ind/>
        <w:jc w:val="both"/>
        <w:rPr/>
      </w:pPr>
      <w:r>
        <w:rPr>
          <w:rFonts w:ascii="Times New Roman" w:hAnsi="Times New Roman" w:eastAsia="Times New Roman" w:cs="Times New Roman"/>
          <w:sz w:val="24"/>
          <w:szCs w:val="24"/>
        </w:rPr>
        <w:t xml:space="preserve">The dependence plots for Latitude and Long</w:t>
      </w:r>
      <w:r>
        <w:rPr>
          <w:rFonts w:ascii="Times New Roman" w:hAnsi="Times New Roman" w:eastAsia="Times New Roman" w:cs="Times New Roman"/>
          <w:sz w:val="24"/>
          <w:szCs w:val="24"/>
        </w:rPr>
        <w:t xml:space="preserve">itude (Figures 3 and 4 in the supplementary plots) show clear non-uniform structure. For Latitude, SHAP values are notably negative for values below approximately 34° (southernmost California, inland desert areas) and above approximately 38° (inland northe</w:t>
      </w:r>
      <w:r>
        <w:rPr>
          <w:rFonts w:ascii="Times New Roman" w:hAnsi="Times New Roman" w:eastAsia="Times New Roman" w:cs="Times New Roman"/>
          <w:sz w:val="24"/>
          <w:szCs w:val="24"/>
        </w:rPr>
        <w:t xml:space="preserve">rn California), while values in the 34°- 38° range, corresponding to the Los Angeles Basin and the San Francisco Bay Area coastal corridor, show positive attribution. This is consistent with the well-known premium placed on coastal California real estate.</w:t>
      </w:r>
      <w:r/>
    </w:p>
    <w:p>
      <w:pPr>
        <w:pBdr/>
        <w:spacing w:after="160" w:line="276" w:lineRule="auto"/>
        <w:ind/>
        <w:jc w:val="both"/>
        <w:rPr/>
      </w:pPr>
      <w:r>
        <w:rPr>
          <w:rFonts w:ascii="Times New Roman" w:hAnsi="Times New Roman" w:eastAsia="Times New Roman" w:cs="Times New Roman"/>
          <w:sz w:val="24"/>
          <w:szCs w:val="24"/>
        </w:rPr>
        <w:t xml:space="preserve">For Longitude, SHAP v</w:t>
      </w:r>
      <w:r>
        <w:rPr>
          <w:rFonts w:ascii="Times New Roman" w:hAnsi="Times New Roman" w:eastAsia="Times New Roman" w:cs="Times New Roman"/>
          <w:sz w:val="24"/>
          <w:szCs w:val="24"/>
        </w:rPr>
        <w:t xml:space="preserve">alues are most positive in the range approximately −122° to −118° (coastal strip), and decline for more inland values (toward −114°). The interaction colouring by Latitude in the Longitude dependence plot shows that the most positive geographic attribution</w:t>
      </w:r>
      <w:r>
        <w:rPr>
          <w:rFonts w:ascii="Times New Roman" w:hAnsi="Times New Roman" w:eastAsia="Times New Roman" w:cs="Times New Roman"/>
          <w:sz w:val="24"/>
          <w:szCs w:val="24"/>
        </w:rPr>
        <w:t xml:space="preserve">s are concentrated in block groups that are simultaneously at the right latitude and the right longitude - i.e. on the coast. This geographic interaction confirms H2: geographic attribution is spatially structured and non-linear, not uniformly distributed.</w:t>
      </w:r>
      <w:r/>
    </w:p>
    <w:p>
      <w:pPr>
        <w:pStyle w:val="745"/>
        <w:pBdr/>
        <w:spacing/>
        <w:ind/>
        <w:rPr/>
      </w:pPr>
      <w:r>
        <w:t xml:space="preserve">4.4 Hypothesis H3: Non-linearity and SHAP-LIME Divergence</w:t>
      </w:r>
      <w:r/>
    </w:p>
    <w:p>
      <w:pPr>
        <w:pBdr/>
        <w:spacing w:after="160" w:line="276" w:lineRule="auto"/>
        <w:ind/>
        <w:jc w:val="both"/>
        <w:rPr/>
      </w:pPr>
      <w:r>
        <w:rPr>
          <w:rFonts w:ascii="Times New Roman" w:hAnsi="Times New Roman" w:eastAsia="Times New Roman" w:cs="Times New Roman"/>
          <w:sz w:val="24"/>
          <w:szCs w:val="24"/>
        </w:rPr>
        <w:t xml:space="preserve">The 40.0% improvement in R² from Linear Regression to Random Forest (0.5758 to 0.8062) confirms that substantial non-linear structure is present in the data. This alone supports H3.</w:t>
      </w:r>
      <w:r/>
    </w:p>
    <w:p>
      <w:pPr>
        <w:pBdr/>
        <w:spacing w:after="160" w:line="276" w:lineRule="auto"/>
        <w:ind/>
        <w:jc w:val="both"/>
        <w:rPr/>
      </w:pPr>
      <w:r>
        <w:rPr>
          <w:rFonts w:ascii="Times New Roman" w:hAnsi="Times New Roman" w:eastAsia="Times New Roman" w:cs="Times New Roman"/>
          <w:sz w:val="24"/>
          <w:szCs w:val="24"/>
        </w:rPr>
        <w:t xml:space="preserve">The Spearman rank correlation between TreeSHAP and LIME attributions across the 50 compared test samples is 0.731, below the 0.8 threshold at whic</w:t>
      </w:r>
      <w:r>
        <w:rPr>
          <w:rFonts w:ascii="Times New Roman" w:hAnsi="Times New Roman" w:eastAsia="Times New Roman" w:cs="Times New Roman"/>
          <w:sz w:val="24"/>
          <w:szCs w:val="24"/>
        </w:rPr>
        <w:t xml:space="preserve">h the methods would be considered to be in good agreement. This indicates that while the broad feature ranking is similar (as seen in Table 3), the relative magnitudes assigned by the two methods diverge meaningfully at the level of individual predictions.</w:t>
      </w:r>
      <w:r/>
    </w:p>
    <w:p>
      <w:pPr>
        <w:pBdr/>
        <w:spacing w:after="160" w:line="276" w:lineRule="auto"/>
        <w:ind/>
        <w:jc w:val="both"/>
        <w:rPr/>
      </w:pPr>
      <w:r>
        <w:rPr>
          <w:rFonts w:ascii="Times New Roman" w:hAnsi="Times New Roman" w:eastAsia="Times New Roman" w:cs="Times New Roman"/>
          <w:sz w:val="24"/>
          <w:szCs w:val="24"/>
        </w:rPr>
        <w:t xml:space="preserve">The LIME stability test, running LIME three times on the same 10 samples with different random seeds, produced a mean standard deviation of 0.0449 across feature attributions. While this is a modest absolute value, it is non</w:t>
      </w:r>
      <w:r>
        <w:rPr>
          <w:rFonts w:ascii="Times New Roman" w:hAnsi="Times New Roman" w:eastAsia="Times New Roman" w:cs="Times New Roman"/>
          <w:sz w:val="24"/>
          <w:szCs w:val="24"/>
        </w:rPr>
        <w:t xml:space="preserve">-zero and non-negligible relative to the attributions of lower-ranked features (e.g. AveBedrms, Population), where the instability represents a substantial fraction of the attribution magnitude. TreeSHAP, being deterministic, has zero variance across runs.</w:t>
      </w:r>
      <w:r/>
    </w:p>
    <w:p>
      <w:pPr>
        <w:pBdr/>
        <w:spacing w:after="160" w:line="276" w:lineRule="auto"/>
        <w:ind/>
        <w:jc w:val="both"/>
        <w:rPr/>
      </w:pPr>
      <w:r>
        <w:rPr>
          <w:rFonts w:ascii="Times New Roman" w:hAnsi="Times New Roman" w:eastAsia="Times New Roman" w:cs="Times New Roman"/>
          <w:sz w:val="24"/>
          <w:szCs w:val="24"/>
        </w:rPr>
        <w:t xml:space="preserve">The comparison bar chart (Figure 8 in supplementary plots) shows that LIME and TreeSHAP agree on the dominant features (MedInc, Latitude) but diverge on t</w:t>
      </w:r>
      <w:r>
        <w:rPr>
          <w:rFonts w:ascii="Times New Roman" w:hAnsi="Times New Roman" w:eastAsia="Times New Roman" w:cs="Times New Roman"/>
          <w:sz w:val="24"/>
          <w:szCs w:val="24"/>
        </w:rPr>
        <w:t xml:space="preserve">he mid-ranking features, particularly AveOccup and Longitude, where LIME assigns relatively more weight. This pattern is consistent with LIME’s local linear approximation struggling to correctly partition attribution between correlated geographic features.</w:t>
      </w:r>
      <w:r/>
    </w:p>
    <w:p>
      <w:pPr>
        <w:pBdr/>
        <w:spacing w:after="60"/>
        <w:ind/>
        <w:rPr/>
      </w:pPr>
      <w:r/>
      <w:r/>
    </w:p>
    <w:p>
      <w:pPr>
        <w:pStyle w:val="744"/>
        <w:pBdr/>
        <w:spacing/>
        <w:ind/>
        <w:rPr/>
      </w:pPr>
      <w:r>
        <w:t xml:space="preserve">5. Discussion</w:t>
      </w:r>
      <w:r/>
    </w:p>
    <w:p>
      <w:pPr>
        <w:pStyle w:val="745"/>
        <w:pBdr/>
        <w:spacing/>
        <w:ind/>
        <w:rPr/>
      </w:pPr>
      <w:r>
        <w:t xml:space="preserve">5.1 What the Results Tell Us About SHAP</w:t>
      </w:r>
      <w:r/>
    </w:p>
    <w:p>
      <w:pPr>
        <w:pBdr/>
        <w:spacing w:after="160" w:line="276" w:lineRule="auto"/>
        <w:ind/>
        <w:jc w:val="both"/>
        <w:rPr/>
      </w:pPr>
      <w:r>
        <w:rPr>
          <w:rFonts w:ascii="Times New Roman" w:hAnsi="Times New Roman" w:eastAsia="Times New Roman" w:cs="Times New Roman"/>
          <w:sz w:val="24"/>
          <w:szCs w:val="24"/>
        </w:rPr>
        <w:t xml:space="preserve">The results confirm that TreeSHAP produces explanations that are both internally consistent </w:t>
      </w:r>
      <w:r>
        <w:rPr>
          <w:rFonts w:ascii="Times New Roman" w:hAnsi="Times New Roman" w:eastAsia="Times New Roman" w:cs="Times New Roman"/>
          <w:sz w:val="24"/>
          <w:szCs w:val="24"/>
        </w:rPr>
        <w:t xml:space="preserve">and empirically meaningful. The dominance of MedInc in the attribution ranking aligns with decades of housing economics research, providing a domain-knowledge validation of the method. The geographic structure visible in the dependence plots demonstrates t</w:t>
      </w:r>
      <w:r>
        <w:rPr>
          <w:rFonts w:ascii="Times New Roman" w:hAnsi="Times New Roman" w:eastAsia="Times New Roman" w:cs="Times New Roman"/>
          <w:sz w:val="24"/>
          <w:szCs w:val="24"/>
        </w:rPr>
        <w:t xml:space="preserve">hat TreeSHAP successfully captures non-linear spatial patterns that a linear model cannot represent, patterns that are invisible in the LinearSHAP attributions, where Latitude and Longitude rank lower and their attributions are more uniformly distributed.</w:t>
      </w:r>
      <w:r/>
    </w:p>
    <w:p>
      <w:pPr>
        <w:pBdr/>
        <w:spacing w:after="160" w:line="276" w:lineRule="auto"/>
        <w:ind/>
        <w:jc w:val="both"/>
        <w:rPr/>
      </w:pPr>
      <w:r>
        <w:rPr>
          <w:rFonts w:ascii="Times New Roman" w:hAnsi="Times New Roman" w:eastAsia="Times New Roman" w:cs="Times New Roman"/>
          <w:sz w:val="24"/>
          <w:szCs w:val="24"/>
        </w:rPr>
        <w:t xml:space="preserve">The Efficiency property of SHAP, that attributions sum exactly to f(x) − E[f(x)],</w:t>
      </w:r>
      <w:r>
        <w:rPr>
          <w:rFonts w:ascii="Times New Roman" w:hAnsi="Times New Roman" w:eastAsia="Times New Roman" w:cs="Times New Roman"/>
          <w:sz w:val="24"/>
          <w:szCs w:val="24"/>
        </w:rPr>
        <w:t xml:space="preserve"> means that the explanations are fully conservative: every unit of prediction is accounted for. This stands in contrast to LIME, whose local linear approximation is only required to be locally accurate and may not account for the full prediction magnitude.</w:t>
      </w:r>
      <w:r/>
    </w:p>
    <w:p>
      <w:pPr>
        <w:pStyle w:val="745"/>
        <w:pBdr/>
        <w:spacing/>
        <w:ind/>
        <w:rPr/>
      </w:pPr>
      <w:r>
        <w:t xml:space="preserve">5.2 What the Results Tell Us About LIME</w:t>
      </w:r>
      <w:r/>
    </w:p>
    <w:p>
      <w:pPr>
        <w:pBdr/>
        <w:spacing w:after="160" w:line="276" w:lineRule="auto"/>
        <w:ind/>
        <w:jc w:val="both"/>
        <w:rPr/>
      </w:pPr>
      <w:r>
        <w:rPr>
          <w:rFonts w:ascii="Times New Roman" w:hAnsi="Times New Roman" w:eastAsia="Times New Roman" w:cs="Times New Roman"/>
          <w:sz w:val="24"/>
          <w:szCs w:val="24"/>
        </w:rPr>
        <w:t xml:space="preserve">The Spearman correlation of 0.731 between TreeSHAP and LIME is the most consequential finding for evaluating LIME. While the two methods broadly agree on the top-ranked features (MedInc, Lat</w:t>
      </w:r>
      <w:r>
        <w:rPr>
          <w:rFonts w:ascii="Times New Roman" w:hAnsi="Times New Roman" w:eastAsia="Times New Roman" w:cs="Times New Roman"/>
          <w:sz w:val="24"/>
          <w:szCs w:val="24"/>
        </w:rPr>
        <w:t xml:space="preserve">itude), they disagree on the relative attribution of mid-ranked features, particularly geographic features. LIME’s tendency to over-attribute to geographic features (Latitude mean |LIME| of 0.4524 vs mean |SHAP| of 0.2601) likely reflects the fact that LIM</w:t>
      </w:r>
      <w:r>
        <w:rPr>
          <w:rFonts w:ascii="Times New Roman" w:hAnsi="Times New Roman" w:eastAsia="Times New Roman" w:cs="Times New Roman"/>
          <w:sz w:val="24"/>
          <w:szCs w:val="24"/>
        </w:rPr>
        <w:t xml:space="preserve">E fits a linear model in the feature space, and geographic features are highly correlated with the target in a locally linear sense, but SHAP’s exact computation assigns some of this attribution to the non-linear interactions that LIME cannot distinguish.</w:t>
      </w:r>
      <w:r/>
    </w:p>
    <w:p>
      <w:pPr>
        <w:pBdr/>
        <w:spacing w:after="160" w:line="276" w:lineRule="auto"/>
        <w:ind/>
        <w:jc w:val="both"/>
        <w:rPr/>
      </w:pPr>
      <w:r>
        <w:rPr>
          <w:rFonts w:ascii="Times New Roman" w:hAnsi="Times New Roman" w:eastAsia="Times New Roman" w:cs="Times New Roman"/>
          <w:sz w:val="24"/>
          <w:szCs w:val="24"/>
        </w:rPr>
        <w:t xml:space="preserve">The stability test, while limited </w:t>
      </w:r>
      <w:r>
        <w:rPr>
          <w:rFonts w:ascii="Times New Roman" w:hAnsi="Times New Roman" w:eastAsia="Times New Roman" w:cs="Times New Roman"/>
          <w:sz w:val="24"/>
          <w:szCs w:val="24"/>
        </w:rPr>
        <w:t xml:space="preserve">to 10 samples, confirms that LIME attributions are not fully reproducible. For lower-ranked features, the variance across seeds is proportionally large. This is a practical limitation in any context where the same explanation must be reproduced or audited.</w:t>
      </w:r>
      <w:r/>
    </w:p>
    <w:p>
      <w:pPr>
        <w:pStyle w:val="745"/>
        <w:pBdr/>
        <w:spacing/>
        <w:ind/>
        <w:rPr/>
      </w:pPr>
      <w:r>
        <w:t xml:space="preserve">5.3 The Role of Model Complexity</w:t>
      </w:r>
      <w:r/>
    </w:p>
    <w:p>
      <w:pPr>
        <w:pBdr/>
        <w:spacing w:after="160" w:line="276" w:lineRule="auto"/>
        <w:ind/>
        <w:jc w:val="both"/>
        <w:rPr/>
      </w:pPr>
      <w:r>
        <w:rPr>
          <w:rFonts w:ascii="Times New Roman" w:hAnsi="Times New Roman" w:eastAsia="Times New Roman" w:cs="Times New Roman"/>
          <w:sz w:val="24"/>
          <w:szCs w:val="24"/>
        </w:rPr>
        <w:t xml:space="preserve">The comparison between LinearSHAP and TreeSHAP attributions on the same dataset reveals that t</w:t>
      </w:r>
      <w:r>
        <w:rPr>
          <w:rFonts w:ascii="Times New Roman" w:hAnsi="Times New Roman" w:eastAsia="Times New Roman" w:cs="Times New Roman"/>
          <w:sz w:val="24"/>
          <w:szCs w:val="24"/>
        </w:rPr>
        <w:t xml:space="preserve">he choice of model matters for the explanation, not just for accuracy. LinearSHAP must distribute the model’s prediction linearly across features; it cannot attribute any of the variance to interactions. TreeSHAP, by contrast, is able to identify that the </w:t>
      </w:r>
      <w:r>
        <w:rPr>
          <w:rFonts w:ascii="Times New Roman" w:hAnsi="Times New Roman" w:eastAsia="Times New Roman" w:cs="Times New Roman"/>
          <w:sz w:val="24"/>
          <w:szCs w:val="24"/>
        </w:rPr>
        <w:t xml:space="preserve">effect of MedInc on house price is modulated by geographic location, visible in the dependence plot where MedInc’s SHAP value is highest in coastal block groups. This interaction is real and economically meaningful, it is not an artefact of the algorithm.</w:t>
      </w:r>
      <w:r/>
    </w:p>
    <w:p>
      <w:pPr>
        <w:pBdr/>
        <w:spacing w:after="160" w:line="276" w:lineRule="auto"/>
        <w:ind/>
        <w:jc w:val="both"/>
        <w:rPr/>
      </w:pPr>
      <w:r>
        <w:rPr>
          <w:rFonts w:ascii="Times New Roman" w:hAnsi="Times New Roman" w:eastAsia="Times New Roman" w:cs="Times New Roman"/>
          <w:sz w:val="24"/>
          <w:szCs w:val="24"/>
        </w:rPr>
        <w:t xml:space="preserve">This finding has an important impl</w:t>
      </w:r>
      <w:r>
        <w:rPr>
          <w:rFonts w:ascii="Times New Roman" w:hAnsi="Times New Roman" w:eastAsia="Times New Roman" w:cs="Times New Roman"/>
          <w:sz w:val="24"/>
          <w:szCs w:val="24"/>
        </w:rPr>
        <w:t xml:space="preserve">ication: using a linear model for interpretability, despite its transparency, may produce misleading attributions if the true data-generating process is non-linear. A Random Forest with TreeSHAP provides both higher accuracy and more faithful explanations.</w:t>
      </w:r>
      <w:r/>
    </w:p>
    <w:p>
      <w:pPr>
        <w:pStyle w:val="745"/>
        <w:pBdr/>
        <w:spacing/>
        <w:ind/>
        <w:rPr/>
      </w:pPr>
      <w:r>
        <w:t xml:space="preserve">5.4 Limitations</w:t>
      </w:r>
      <w:r/>
    </w:p>
    <w:p>
      <w:pPr>
        <w:pBdr/>
        <w:spacing w:after="160" w:line="276" w:lineRule="auto"/>
        <w:ind/>
        <w:jc w:val="both"/>
        <w:rPr/>
      </w:pPr>
      <w:r>
        <w:rPr>
          <w:rFonts w:ascii="Times New Roman" w:hAnsi="Times New Roman" w:eastAsia="Times New Roman" w:cs="Times New Roman"/>
          <w:sz w:val="24"/>
          <w:szCs w:val="24"/>
        </w:rPr>
        <w:t xml:space="preserve">Several limitations should be noted. First, the LIME comparison is based on only 50 test </w:t>
      </w:r>
      <w:r>
        <w:rPr>
          <w:rFonts w:ascii="Times New Roman" w:hAnsi="Times New Roman" w:eastAsia="Times New Roman" w:cs="Times New Roman"/>
          <w:sz w:val="24"/>
          <w:szCs w:val="24"/>
        </w:rPr>
        <w:t xml:space="preserve">samples, which limits the statistical power of the Spearman correlation estimate. A larger comparison sample would provide more robust estimates of SHAP-LIME agreement. Second, the California Housing dataset is from 1990 and the geographic patterns identif</w:t>
      </w:r>
      <w:r>
        <w:rPr>
          <w:rFonts w:ascii="Times New Roman" w:hAnsi="Times New Roman" w:eastAsia="Times New Roman" w:cs="Times New Roman"/>
          <w:sz w:val="24"/>
          <w:szCs w:val="24"/>
        </w:rPr>
        <w:t xml:space="preserve">ied (coastal premium, income dominance) may not generalise to modern housing markets. Third, the Random Forest with default parameters may not represent the best achievable non-linear model for this dataset, hyperparameter tuning (e.g. tree depth, minimum </w:t>
      </w:r>
      <w:r>
        <w:rPr>
          <w:rFonts w:ascii="Times New Roman" w:hAnsi="Times New Roman" w:eastAsia="Times New Roman" w:cs="Times New Roman"/>
          <w:sz w:val="24"/>
          <w:szCs w:val="24"/>
        </w:rPr>
        <w:t xml:space="preserve">samples per leaf) could improve both accuracy and the quality of SHAP explanations. Fourth, SHAP interaction values, which would allow quantification of the MedInc × Geography interaction, were not computed, representing a natural extension of this work.</w:t>
      </w:r>
      <w:r/>
    </w:p>
    <w:p>
      <w:pPr>
        <w:pBdr/>
        <w:spacing w:after="60"/>
        <w:ind/>
        <w:rPr/>
      </w:pPr>
      <w:r/>
      <w:r/>
    </w:p>
    <w:p>
      <w:pPr>
        <w:pStyle w:val="744"/>
        <w:pBdr/>
        <w:spacing/>
        <w:ind/>
        <w:rPr/>
      </w:pPr>
      <w:r>
        <w:t xml:space="preserve">6. Conclusion</w:t>
      </w:r>
      <w:r/>
    </w:p>
    <w:p>
      <w:pPr>
        <w:pBdr/>
        <w:spacing w:after="160" w:line="276" w:lineRule="auto"/>
        <w:ind/>
        <w:jc w:val="both"/>
        <w:rPr/>
      </w:pPr>
      <w:r>
        <w:rPr>
          <w:rFonts w:ascii="Times New Roman" w:hAnsi="Times New Roman" w:eastAsia="Times New Roman" w:cs="Times New Roman"/>
          <w:sz w:val="24"/>
          <w:szCs w:val="24"/>
        </w:rPr>
        <w:t xml:space="preserve">This paper presented an empirical evaluation of SHAP against LIME for post-hoc machine learning interpretability on a structured regression task. Three hypotheses were tested and all three were confirmed by the experimental results.</w:t>
      </w:r>
      <w:r/>
    </w:p>
    <w:p>
      <w:pPr>
        <w:pBdr/>
        <w:spacing w:after="160" w:line="276" w:lineRule="auto"/>
        <w:ind/>
        <w:jc w:val="both"/>
        <w:rPr/>
      </w:pPr>
      <w:r>
        <w:rPr>
          <w:rFonts w:ascii="Times New Roman" w:hAnsi="Times New Roman" w:eastAsia="Times New Roman" w:cs="Times New Roman"/>
          <w:sz w:val="24"/>
          <w:szCs w:val="24"/>
        </w:rPr>
        <w:t xml:space="preserve">H1 was confirmed: MedInc is the dominant feature in both SHAP and LIME attributions for the Random Forest (mean |SHAP| = 0.55, rank 1 in both me</w:t>
      </w:r>
      <w:r>
        <w:rPr>
          <w:rFonts w:ascii="Times New Roman" w:hAnsi="Times New Roman" w:eastAsia="Times New Roman" w:cs="Times New Roman"/>
          <w:sz w:val="24"/>
          <w:szCs w:val="24"/>
        </w:rPr>
        <w:t xml:space="preserve">thods), consistent with housing economics literature. H2 was confirmed: dependence plots for Latitude and Longitude show clear spatial clustering, with the California coastal corridor producing positive geographic attribution. H3 was confirmed: the Random </w:t>
      </w:r>
      <w:r>
        <w:rPr>
          <w:rFonts w:ascii="Times New Roman" w:hAnsi="Times New Roman" w:eastAsia="Times New Roman" w:cs="Times New Roman"/>
          <w:sz w:val="24"/>
          <w:szCs w:val="24"/>
        </w:rPr>
        <w:t xml:space="preserve">Forest achieves a 40.0% relative improvement in R² over Linear Regression (0.8062 vs 0.5758), and the Spearman rank correlation between TreeSHAP and LIME attributions is 0.731, indicating notable disagreement consistent with LIME’s theoretical limitations.</w:t>
      </w:r>
      <w:r/>
    </w:p>
    <w:p>
      <w:pPr>
        <w:pBdr/>
        <w:spacing w:after="160" w:line="276" w:lineRule="auto"/>
        <w:ind/>
        <w:jc w:val="both"/>
        <w:rPr/>
      </w:pPr>
      <w:r>
        <w:rPr>
          <w:rFonts w:ascii="Times New Roman" w:hAnsi="Times New Roman" w:eastAsia="Times New Roman" w:cs="Times New Roman"/>
          <w:sz w:val="24"/>
          <w:szCs w:val="24"/>
        </w:rPr>
        <w:t xml:space="preserve">The practical recommendation arising from these results is that TreeSHAP should be preferred over LIME when the model supports an efficient exact algorithm, as it provides deterministic, theoretically grounded attributions with</w:t>
      </w:r>
      <w:r>
        <w:rPr>
          <w:rFonts w:ascii="Times New Roman" w:hAnsi="Times New Roman" w:eastAsia="Times New Roman" w:cs="Times New Roman"/>
          <w:sz w:val="24"/>
          <w:szCs w:val="24"/>
        </w:rPr>
        <w:t xml:space="preserve"> better agreement with the model’s actual learned structure. LIME remains a viable fallback for model families without efficient SHAP variants, but practitioners should be aware of its instability and potential to over-attribute to locally linear features.</w:t>
      </w:r>
      <w:r/>
    </w:p>
    <w:p>
      <w:pPr>
        <w:pBdr/>
        <w:spacing w:after="160" w:line="276" w:lineRule="auto"/>
        <w:ind/>
        <w:jc w:val="both"/>
        <w:rPr/>
      </w:pPr>
      <w:r>
        <w:rPr>
          <w:rFonts w:ascii="Times New Roman" w:hAnsi="Times New Roman" w:eastAsia="Times New Roman" w:cs="Times New Roman"/>
          <w:sz w:val="24"/>
          <w:szCs w:val="24"/>
        </w:rPr>
        <w:t xml:space="preserve">Future work should extend the comparis</w:t>
      </w:r>
      <w:r>
        <w:rPr>
          <w:rFonts w:ascii="Times New Roman" w:hAnsi="Times New Roman" w:eastAsia="Times New Roman" w:cs="Times New Roman"/>
          <w:sz w:val="24"/>
          <w:szCs w:val="24"/>
        </w:rPr>
        <w:t xml:space="preserve">on to gradient boosted models (e.g. XGBoost, LightGBM), compute SHAP interaction values to quantify the MedInc × Geography interaction explicitly, and increase the LIME comparison sample size to improve the reliability of the Spearman correlation estimate.</w:t>
      </w:r>
      <w:r/>
    </w:p>
    <w:p>
      <w:pPr>
        <w:pBdr/>
        <w:spacing/>
        <w:ind/>
        <w:rPr/>
      </w:pPr>
      <w:r>
        <w:t xml:space="preserve">TO DO: Add and format plots</w:t>
        <w:br w:type="page" w:clear="all"/>
      </w:r>
      <w:r/>
    </w:p>
    <w:p>
      <w:pPr>
        <w:pStyle w:val="744"/>
        <w:pBdr/>
        <w:spacing/>
        <w:ind/>
        <w:rPr/>
      </w:pPr>
      <w:r>
        <w:t xml:space="preserve">References</w:t>
      </w:r>
      <w:r/>
    </w:p>
    <w:p>
      <w:pPr>
        <w:pBdr/>
        <w:spacing w:after="160" w:line="276" w:lineRule="auto"/>
        <w:ind/>
        <w:jc w:val="both"/>
        <w:rPr/>
      </w:pPr>
      <w:r>
        <w:rPr>
          <w:rFonts w:ascii="Times New Roman" w:hAnsi="Times New Roman" w:eastAsia="Times New Roman" w:cs="Times New Roman"/>
          <w:b/>
          <w:bCs/>
          <w:sz w:val="24"/>
          <w:szCs w:val="24"/>
        </w:rPr>
        <w:t xml:space="preserve">Harrison, D., &amp; Rubinfeld, D. L. </w:t>
      </w:r>
      <w:r>
        <w:rPr>
          <w:rFonts w:ascii="Times New Roman" w:hAnsi="Times New Roman" w:eastAsia="Times New Roman" w:cs="Times New Roman"/>
          <w:sz w:val="24"/>
          <w:szCs w:val="24"/>
        </w:rPr>
        <w:t xml:space="preserve">(1978). Hedonic housing prices and the demand for clean air. </w:t>
      </w:r>
      <w:r>
        <w:rPr>
          <w:rFonts w:ascii="Times New Roman" w:hAnsi="Times New Roman" w:eastAsia="Times New Roman" w:cs="Times New Roman"/>
          <w:i/>
          <w:iCs/>
          <w:sz w:val="24"/>
          <w:szCs w:val="24"/>
        </w:rPr>
        <w:t xml:space="preserve">Journal of Environmental Economics and Management</w:t>
      </w:r>
      <w:r>
        <w:rPr>
          <w:rFonts w:ascii="Times New Roman" w:hAnsi="Times New Roman" w:eastAsia="Times New Roman" w:cs="Times New Roman"/>
          <w:sz w:val="24"/>
          <w:szCs w:val="24"/>
        </w:rPr>
        <w:t xml:space="preserve">, 5(1), 81–102. https://doi.org/10.1016/0095-0696(78)90006-2</w:t>
      </w:r>
      <w:r/>
    </w:p>
    <w:p>
      <w:pPr>
        <w:pBdr/>
        <w:spacing w:after="60"/>
        <w:ind/>
        <w:rPr/>
      </w:pPr>
      <w:r/>
      <w:r/>
    </w:p>
    <w:p>
      <w:pPr>
        <w:pBdr/>
        <w:spacing w:after="160" w:line="276" w:lineRule="auto"/>
        <w:ind/>
        <w:jc w:val="both"/>
        <w:rPr/>
      </w:pPr>
      <w:r>
        <w:rPr>
          <w:rFonts w:ascii="Times New Roman" w:hAnsi="Times New Roman" w:eastAsia="Times New Roman" w:cs="Times New Roman"/>
          <w:b/>
          <w:bCs/>
          <w:sz w:val="24"/>
          <w:szCs w:val="24"/>
        </w:rPr>
        <w:t xml:space="preserve">Lundberg, S. M. </w:t>
      </w:r>
      <w:r>
        <w:rPr>
          <w:rFonts w:ascii="Times New Roman" w:hAnsi="Times New Roman" w:eastAsia="Times New Roman" w:cs="Times New Roman"/>
          <w:sz w:val="24"/>
          <w:szCs w:val="24"/>
        </w:rPr>
        <w:t xml:space="preserve">(2018). </w:t>
      </w:r>
      <w:r>
        <w:rPr>
          <w:rFonts w:ascii="Times New Roman" w:hAnsi="Times New Roman" w:eastAsia="Times New Roman" w:cs="Times New Roman"/>
          <w:i/>
          <w:iCs/>
          <w:sz w:val="24"/>
          <w:szCs w:val="24"/>
        </w:rPr>
        <w:t xml:space="preserve">SHAP documentation and examples</w:t>
      </w:r>
      <w:r>
        <w:rPr>
          <w:rFonts w:ascii="Times New Roman" w:hAnsi="Times New Roman" w:eastAsia="Times New Roman" w:cs="Times New Roman"/>
          <w:sz w:val="24"/>
          <w:szCs w:val="24"/>
        </w:rPr>
        <w:t xml:space="preserve">. GitHub. https://github.com/shap/shap</w:t>
      </w:r>
      <w:r/>
    </w:p>
    <w:p>
      <w:pPr>
        <w:pBdr/>
        <w:spacing w:after="60"/>
        <w:ind/>
        <w:rPr/>
      </w:pPr>
      <w:r/>
      <w:r/>
    </w:p>
    <w:p>
      <w:pPr>
        <w:pBdr/>
        <w:spacing w:after="160" w:line="276" w:lineRule="auto"/>
        <w:ind/>
        <w:jc w:val="both"/>
        <w:rPr/>
      </w:pPr>
      <w:r>
        <w:rPr>
          <w:rFonts w:ascii="Times New Roman" w:hAnsi="Times New Roman" w:eastAsia="Times New Roman" w:cs="Times New Roman"/>
          <w:b/>
          <w:bCs/>
          <w:sz w:val="24"/>
          <w:szCs w:val="24"/>
        </w:rPr>
        <w:t xml:space="preserve">Lundberg, S. M., &amp; Lee, S.-I. </w:t>
      </w:r>
      <w:r>
        <w:rPr>
          <w:rFonts w:ascii="Times New Roman" w:hAnsi="Times New Roman" w:eastAsia="Times New Roman" w:cs="Times New Roman"/>
          <w:sz w:val="24"/>
          <w:szCs w:val="24"/>
        </w:rPr>
        <w:t xml:space="preserve">(2017). A unified approach to interpreting model predictions. </w:t>
      </w:r>
      <w:r>
        <w:rPr>
          <w:rFonts w:ascii="Times New Roman" w:hAnsi="Times New Roman" w:eastAsia="Times New Roman" w:cs="Times New Roman"/>
          <w:i/>
          <w:iCs/>
          <w:sz w:val="24"/>
          <w:szCs w:val="24"/>
        </w:rPr>
        <w:t xml:space="preserve">Advances in Neural Information Processing Systems (NeurIPS 2017)</w:t>
      </w:r>
      <w:r>
        <w:rPr>
          <w:rFonts w:ascii="Times New Roman" w:hAnsi="Times New Roman" w:eastAsia="Times New Roman" w:cs="Times New Roman"/>
          <w:sz w:val="24"/>
          <w:szCs w:val="24"/>
        </w:rPr>
        <w:t xml:space="preserve">, 30, 4765–4774. https://proceedings.neurips.cc/paper/2017/file/8a20a8621978632d76c43dfd28b67767-Paper.pdf</w:t>
      </w:r>
      <w:r/>
    </w:p>
    <w:p>
      <w:pPr>
        <w:pBdr/>
        <w:spacing w:after="60"/>
        <w:ind/>
        <w:rPr/>
      </w:pPr>
      <w:r/>
      <w:r/>
    </w:p>
    <w:p>
      <w:pPr>
        <w:pBdr/>
        <w:spacing w:after="160" w:line="276" w:lineRule="auto"/>
        <w:ind/>
        <w:jc w:val="both"/>
        <w:rPr/>
      </w:pPr>
      <w:r>
        <w:rPr>
          <w:rFonts w:ascii="Times New Roman" w:hAnsi="Times New Roman" w:eastAsia="Times New Roman" w:cs="Times New Roman"/>
          <w:b/>
          <w:bCs/>
          <w:sz w:val="24"/>
          <w:szCs w:val="24"/>
        </w:rPr>
        <w:t xml:space="preserve">Lundberg, S. M., Erion, G., Chen, H., DeGrave, A., Prutkin, J. M., Nair, B., Katz, R., Himmelfarb, J., Bansal, N., &amp; Lee, S.-I. </w:t>
      </w:r>
      <w:r>
        <w:rPr>
          <w:rFonts w:ascii="Times New Roman" w:hAnsi="Times New Roman" w:eastAsia="Times New Roman" w:cs="Times New Roman"/>
          <w:sz w:val="24"/>
          <w:szCs w:val="24"/>
        </w:rPr>
        <w:t xml:space="preserve">(2020). From local explanations to global understanding with explainable AI for trees. </w:t>
      </w:r>
      <w:r>
        <w:rPr>
          <w:rFonts w:ascii="Times New Roman" w:hAnsi="Times New Roman" w:eastAsia="Times New Roman" w:cs="Times New Roman"/>
          <w:i/>
          <w:iCs/>
          <w:sz w:val="24"/>
          <w:szCs w:val="24"/>
        </w:rPr>
        <w:t xml:space="preserve">Nature Machine Intelligence</w:t>
      </w:r>
      <w:r>
        <w:rPr>
          <w:rFonts w:ascii="Times New Roman" w:hAnsi="Times New Roman" w:eastAsia="Times New Roman" w:cs="Times New Roman"/>
          <w:sz w:val="24"/>
          <w:szCs w:val="24"/>
        </w:rPr>
        <w:t xml:space="preserve">, 2(1), 56–67. https://doi.org/10.1038/s42256-019-0138-9</w:t>
      </w:r>
      <w:r/>
    </w:p>
    <w:p>
      <w:pPr>
        <w:pBdr/>
        <w:spacing w:after="60"/>
        <w:ind/>
        <w:rPr/>
      </w:pPr>
      <w:r/>
      <w:r/>
    </w:p>
    <w:p>
      <w:pPr>
        <w:pBdr/>
        <w:spacing w:after="160" w:line="276" w:lineRule="auto"/>
        <w:ind/>
        <w:jc w:val="both"/>
        <w:rPr/>
      </w:pPr>
      <w:r>
        <w:rPr>
          <w:rFonts w:ascii="Times New Roman" w:hAnsi="Times New Roman" w:eastAsia="Times New Roman" w:cs="Times New Roman"/>
          <w:b/>
          <w:bCs/>
          <w:sz w:val="24"/>
          <w:szCs w:val="24"/>
        </w:rPr>
        <w:t xml:space="preserve">Pedregosa, F., Varoquaux, G., Gramfort, A., Michel, V., Thirion, B., Grisel, O., Blondel, M., Prettenhofer, P., Weiss, R., Dubourg, V., Vanderplas, J., Passos, A., Cournapeau, D., Brucher, M., Perrot, M., &amp; Duchesnay, E. </w:t>
      </w:r>
      <w:r>
        <w:rPr>
          <w:rFonts w:ascii="Times New Roman" w:hAnsi="Times New Roman" w:eastAsia="Times New Roman" w:cs="Times New Roman"/>
          <w:sz w:val="24"/>
          <w:szCs w:val="24"/>
        </w:rPr>
        <w:t xml:space="preserve">(2011). Scikit-learn: Machine learning in Python. </w:t>
      </w:r>
      <w:r>
        <w:rPr>
          <w:rFonts w:ascii="Times New Roman" w:hAnsi="Times New Roman" w:eastAsia="Times New Roman" w:cs="Times New Roman"/>
          <w:i/>
          <w:iCs/>
          <w:sz w:val="24"/>
          <w:szCs w:val="24"/>
        </w:rPr>
        <w:t xml:space="preserve">Journal of Machine Learning Research</w:t>
      </w:r>
      <w:r>
        <w:rPr>
          <w:rFonts w:ascii="Times New Roman" w:hAnsi="Times New Roman" w:eastAsia="Times New Roman" w:cs="Times New Roman"/>
          <w:sz w:val="24"/>
          <w:szCs w:val="24"/>
        </w:rPr>
        <w:t xml:space="preserve">, 12, 2825–2830.</w:t>
      </w:r>
      <w:r/>
    </w:p>
    <w:p>
      <w:pPr>
        <w:pBdr/>
        <w:spacing w:after="60"/>
        <w:ind/>
        <w:rPr/>
      </w:pPr>
      <w:r/>
      <w:r/>
    </w:p>
    <w:p>
      <w:pPr>
        <w:pBdr/>
        <w:spacing w:after="160" w:line="276" w:lineRule="auto"/>
        <w:ind/>
        <w:jc w:val="both"/>
        <w:rPr/>
      </w:pPr>
      <w:r>
        <w:rPr>
          <w:rFonts w:ascii="Times New Roman" w:hAnsi="Times New Roman" w:eastAsia="Times New Roman" w:cs="Times New Roman"/>
          <w:b/>
          <w:bCs/>
          <w:sz w:val="24"/>
          <w:szCs w:val="24"/>
        </w:rPr>
        <w:t xml:space="preserve">Ribeiro, M. T., Singh, S., &amp; Guestrin, C. </w:t>
      </w:r>
      <w:r>
        <w:rPr>
          <w:rFonts w:ascii="Times New Roman" w:hAnsi="Times New Roman" w:eastAsia="Times New Roman" w:cs="Times New Roman"/>
          <w:sz w:val="24"/>
          <w:szCs w:val="24"/>
        </w:rPr>
        <w:t xml:space="preserve">(2016). “Why should I trust you?”: Explaining the predictions of any classifier. </w:t>
      </w:r>
      <w:r>
        <w:rPr>
          <w:rFonts w:ascii="Times New Roman" w:hAnsi="Times New Roman" w:eastAsia="Times New Roman" w:cs="Times New Roman"/>
          <w:i/>
          <w:iCs/>
          <w:sz w:val="24"/>
          <w:szCs w:val="24"/>
        </w:rPr>
        <w:t xml:space="preserve">Proceedings of the 22nd ACM SIGKDD International Conference on Knowledge Discovery and Data Mining (KDD 2016)</w:t>
      </w:r>
      <w:r>
        <w:rPr>
          <w:rFonts w:ascii="Times New Roman" w:hAnsi="Times New Roman" w:eastAsia="Times New Roman" w:cs="Times New Roman"/>
          <w:sz w:val="24"/>
          <w:szCs w:val="24"/>
        </w:rPr>
        <w:t xml:space="preserve">, 1135–1144. https://doi.org/10.1145/2939672.2939778</w:t>
      </w:r>
      <w:r/>
    </w:p>
    <w:p>
      <w:pPr>
        <w:pBdr/>
        <w:spacing w:after="60"/>
        <w:ind/>
        <w:rPr/>
      </w:pPr>
      <w:r/>
      <w:r/>
    </w:p>
    <w:p>
      <w:pPr>
        <w:pBdr/>
        <w:spacing w:after="160" w:line="276" w:lineRule="auto"/>
        <w:ind/>
        <w:jc w:val="both"/>
        <w:rPr/>
      </w:pPr>
      <w:r>
        <w:rPr>
          <w:rFonts w:ascii="Times New Roman" w:hAnsi="Times New Roman" w:eastAsia="Times New Roman" w:cs="Times New Roman"/>
          <w:b/>
          <w:bCs/>
          <w:sz w:val="24"/>
          <w:szCs w:val="24"/>
        </w:rPr>
        <w:t xml:space="preserve">Shapley, L. S. </w:t>
      </w:r>
      <w:r>
        <w:rPr>
          <w:rFonts w:ascii="Times New Roman" w:hAnsi="Times New Roman" w:eastAsia="Times New Roman" w:cs="Times New Roman"/>
          <w:sz w:val="24"/>
          <w:szCs w:val="24"/>
        </w:rPr>
        <w:t xml:space="preserve">(1953). A value for n-person games. In H. W. Kuhn &amp; A. W. Tucker (Eds.), </w:t>
      </w:r>
      <w:r>
        <w:rPr>
          <w:rFonts w:ascii="Times New Roman" w:hAnsi="Times New Roman" w:eastAsia="Times New Roman" w:cs="Times New Roman"/>
          <w:i/>
          <w:iCs/>
          <w:sz w:val="24"/>
          <w:szCs w:val="24"/>
        </w:rPr>
        <w:t xml:space="preserve">Contributions to the Theory of Games II</w:t>
      </w:r>
      <w:r>
        <w:rPr>
          <w:rFonts w:ascii="Times New Roman" w:hAnsi="Times New Roman" w:eastAsia="Times New Roman" w:cs="Times New Roman"/>
          <w:sz w:val="24"/>
          <w:szCs w:val="24"/>
        </w:rPr>
        <w:t xml:space="preserve"> (pp. 307–317). Princeton University Press.</w:t>
      </w:r>
      <w:r/>
    </w:p>
    <w:p>
      <w:pPr>
        <w:pBdr/>
        <w:spacing w:after="60"/>
        <w:ind/>
        <w:rPr/>
      </w:pPr>
      <w:r/>
      <w:r/>
    </w:p>
    <w:p>
      <w:pPr>
        <w:pBdr/>
        <w:spacing w:after="160" w:line="276" w:lineRule="auto"/>
        <w:ind/>
        <w:jc w:val="both"/>
        <w:rPr/>
      </w:pPr>
      <w:r>
        <w:rPr>
          <w:rFonts w:ascii="Times New Roman" w:hAnsi="Times New Roman" w:eastAsia="Times New Roman" w:cs="Times New Roman"/>
          <w:b/>
          <w:bCs/>
          <w:sz w:val="24"/>
          <w:szCs w:val="24"/>
        </w:rPr>
        <w:t xml:space="preserve">Visani, G., Bagli, E., Chesani, F., Poluzzi, A., &amp; Capuzzo, D. </w:t>
      </w:r>
      <w:r>
        <w:rPr>
          <w:rFonts w:ascii="Times New Roman" w:hAnsi="Times New Roman" w:eastAsia="Times New Roman" w:cs="Times New Roman"/>
          <w:sz w:val="24"/>
          <w:szCs w:val="24"/>
        </w:rPr>
        <w:t xml:space="preserve">(2022). Statistical stability indices for LIME: Obtaining reliable explanations for machine learning models. </w:t>
      </w:r>
      <w:r>
        <w:rPr>
          <w:rFonts w:ascii="Times New Roman" w:hAnsi="Times New Roman" w:eastAsia="Times New Roman" w:cs="Times New Roman"/>
          <w:i/>
          <w:iCs/>
          <w:sz w:val="24"/>
          <w:szCs w:val="24"/>
        </w:rPr>
        <w:t xml:space="preserve">Journal of the Operational Research Society</w:t>
      </w:r>
      <w:r>
        <w:rPr>
          <w:rFonts w:ascii="Times New Roman" w:hAnsi="Times New Roman" w:eastAsia="Times New Roman" w:cs="Times New Roman"/>
          <w:sz w:val="24"/>
          <w:szCs w:val="24"/>
        </w:rPr>
        <w:t xml:space="preserve">, 73(1), 91–101. https://doi.org/10.1080/01605682.2020.1865846</w:t>
      </w:r>
      <w:r/>
    </w:p>
    <w:sectPr>
      <w:headerReference w:type="default" r:id="rId9"/>
      <w:footerReference w:type="default" r:id="rId10"/>
      <w:footnotePr/>
      <w:endnotePr/>
      <w:type w:val="nextPage"/>
      <w:pgSz w:h="15840" w:orient="portrait" w:w="12240"/>
      <w:pgMar w:top="1440" w:right="1260" w:bottom="1440" w:left="1260" w:header="708" w:footer="708"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top w:val="single" w:color="cccccc" w:sz="4" w:space="4"/>
      </w:pBdr>
      <w:spacing w:after="0"/>
      <w:ind/>
      <w:rPr/>
    </w:pPr>
    <w:r>
      <w:rPr>
        <w:rFonts w:ascii="Arial" w:hAnsi="Arial" w:eastAsia="Arial" w:cs="Arial"/>
        <w:i/>
        <w:iCs/>
        <w:color w:val="4a5568"/>
        <w:sz w:val="16"/>
        <w:szCs w:val="16"/>
      </w:r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cccccc" w:sz="4" w:space="4"/>
      </w:pBdr>
      <w:tabs>
        <w:tab w:val="right" w:leader="none" w:pos="9026"/>
      </w:tabs>
      <w:spacing w:after="0"/>
      <w:ind/>
      <w:rPr/>
    </w:pPr>
    <w:r>
      <w:rPr>
        <w:rFonts w:ascii="Arial" w:hAnsi="Arial" w:eastAsia="Arial" w:cs="Arial"/>
        <w:i/>
        <w:iCs/>
        <w:color w:val="4a5568"/>
        <w:sz w:val="18"/>
        <w:szCs w:val="18"/>
      </w:rPr>
      <w:t xml:space="preserve">SHAP for Model Interpretability in Machine Learning</w:t>
    </w:r>
    <w:r>
      <w:rPr>
        <w:rFonts w:ascii="Arial" w:hAnsi="Arial" w:eastAsia="Arial" w:cs="Arial"/>
        <w:color w:val="4a5568"/>
        <w:sz w:val="18"/>
        <w:szCs w:val="18"/>
      </w:rPr>
      <w:tab/>
      <w:fldChar w:fldCharType="begin"/>
      <w:instrText xml:space="preserve">PAGE</w:instrText>
      <w:fldChar w:fldCharType="separate"/>
      <w:fldChar w:fldCharType="end"/>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
      <w:numFmt w:val="bullet"/>
      <w:pPr>
        <w:pBdr/>
        <w:spacing/>
        <w:ind w:hanging="360" w:left="720"/>
      </w:pPr>
      <w:rPr/>
      <w:start w:val="1"/>
      <w:suff w:val="tab"/>
    </w:lvl>
    <w:lvl w:ilvl="1">
      <w:isLgl w:val="false"/>
      <w:lvlJc w:val="left"/>
      <w:lvlText w:val="○"/>
      <w:numFmt w:val="bullet"/>
      <w:pPr>
        <w:pBdr/>
        <w:spacing/>
        <w:ind w:hanging="360" w:left="1440"/>
      </w:pPr>
      <w:rPr/>
      <w:start w:val="1"/>
      <w:suff w:val="tab"/>
    </w:lvl>
    <w:lvl w:ilvl="2">
      <w:isLgl w:val="false"/>
      <w:lvlJc w:val="left"/>
      <w:lvlText w:val="■"/>
      <w:numFmt w:val="bullet"/>
      <w:pPr>
        <w:pBdr/>
        <w:spacing/>
        <w:ind w:hanging="360" w:left="2160"/>
      </w:pPr>
      <w:rPr/>
      <w:start w:val="1"/>
      <w:suff w:val="tab"/>
    </w:lvl>
    <w:lvl w:ilvl="3">
      <w:isLgl w:val="false"/>
      <w:lvlJc w:val="left"/>
      <w:lvlText w:val="●"/>
      <w:numFmt w:val="bullet"/>
      <w:pPr>
        <w:pBdr/>
        <w:spacing/>
        <w:ind w:hanging="360" w:left="2880"/>
      </w:pPr>
      <w:rPr/>
      <w:start w:val="1"/>
      <w:suff w:val="tab"/>
    </w:lvl>
    <w:lvl w:ilvl="4">
      <w:isLgl w:val="false"/>
      <w:lvlJc w:val="left"/>
      <w:lvlText w:val="○"/>
      <w:numFmt w:val="bullet"/>
      <w:pPr>
        <w:pBdr/>
        <w:spacing/>
        <w:ind w:hanging="360" w:left="3600"/>
      </w:pPr>
      <w:rPr/>
      <w:start w:val="1"/>
      <w:suff w:val="tab"/>
    </w:lvl>
    <w:lvl w:ilvl="5">
      <w:isLgl w:val="false"/>
      <w:lvlJc w:val="left"/>
      <w:lvlText w:val="■"/>
      <w:numFmt w:val="bullet"/>
      <w:pPr>
        <w:pBdr/>
        <w:spacing/>
        <w:ind w:hanging="360" w:left="4320"/>
      </w:pPr>
      <w:rPr/>
      <w:start w:val="1"/>
      <w:suff w:val="tab"/>
    </w:lvl>
    <w:lvl w:ilvl="6">
      <w:isLgl w:val="false"/>
      <w:lvlJc w:val="left"/>
      <w:lvlText w:val="●"/>
      <w:numFmt w:val="bullet"/>
      <w:pPr>
        <w:pBdr/>
        <w:spacing/>
        <w:ind w:hanging="360" w:left="5040"/>
      </w:pPr>
      <w:rPr/>
      <w:start w:val="1"/>
      <w:suff w:val="tab"/>
    </w:lvl>
    <w:lvl w:ilvl="7">
      <w:isLgl w:val="false"/>
      <w:lvlJc w:val="left"/>
      <w:lvlText w:val="●"/>
      <w:numFmt w:val="bullet"/>
      <w:pPr>
        <w:pBdr/>
        <w:spacing/>
        <w:ind w:hanging="360" w:left="5760"/>
      </w:pPr>
      <w:rPr/>
      <w:start w:val="1"/>
      <w:suff w:val="tab"/>
    </w:lvl>
    <w:lvl w:ilvl="8">
      <w:isLgl w:val="false"/>
      <w:lvlJc w:val="left"/>
      <w:lvlText w:val="●"/>
      <w:numFmt w:val="bullet"/>
      <w:pPr>
        <w:pBdr/>
        <w:spacing/>
        <w:ind w:hanging="360" w:left="6480"/>
      </w:pPr>
      <w:rPr/>
      <w:start w:val="1"/>
      <w:suff w:val="tab"/>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sz w:val="24"/>
        <w:szCs w:val="24"/>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1"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
    <w:name w:val="Table Grid"/>
    <w:basedOn w:val="11"/>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Table Grid Light"/>
    <w:basedOn w:val="11"/>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11"/>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11"/>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1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1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1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11"/>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1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1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1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1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1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1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1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1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1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1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1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1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1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1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1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1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1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1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1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1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11"/>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1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11"/>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11"/>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11"/>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11"/>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11"/>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11"/>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1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1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b38" w:themeColor="accent2" w:themeTint="97" w:themeShade="95"/>
      </w:rPr>
      <w:pPr>
        <w:pBdr/>
        <w:spacing/>
        <w:ind/>
      </w:pPr>
      <w:tblPr>
        <w:tblBorders/>
      </w:tblPr>
      <w:tcPr>
        <w:tcBorders/>
      </w:tcPr>
    </w:tblStylePr>
    <w:tblStylePr w:type="firstRow">
      <w:rPr>
        <w:b/>
        <w:color w:val="9f3b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b38" w:themeColor="accent2" w:themeTint="97" w:themeShade="95"/>
      </w:rPr>
      <w:pPr>
        <w:pBdr/>
        <w:spacing/>
        <w:ind/>
      </w:pPr>
      <w:tblPr>
        <w:tblBorders/>
      </w:tblPr>
      <w:tcPr>
        <w:tcBorders/>
      </w:tcPr>
    </w:tblStylePr>
    <w:tblStylePr w:type="lastRow">
      <w:rPr>
        <w:b/>
        <w:color w:val="9f3b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11"/>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732f" w:themeColor="accent3" w:themeTint="FE" w:themeShade="95"/>
      </w:rPr>
      <w:pPr>
        <w:pBdr/>
        <w:spacing/>
        <w:ind/>
      </w:pPr>
      <w:tblPr>
        <w:tblBorders/>
      </w:tblPr>
      <w:tcPr>
        <w:tcBorders/>
      </w:tcPr>
    </w:tblStylePr>
    <w:tblStylePr w:type="firstRow">
      <w:rPr>
        <w:b/>
        <w:color w:val="5d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d732f" w:themeColor="accent3" w:themeTint="FE" w:themeShade="95"/>
      </w:rPr>
      <w:pPr>
        <w:pBdr/>
        <w:spacing/>
        <w:ind/>
      </w:pPr>
      <w:tblPr>
        <w:tblBorders/>
      </w:tblPr>
      <w:tcPr>
        <w:tcBorders/>
      </w:tcPr>
    </w:tblStylePr>
    <w:tblStylePr w:type="lastRow">
      <w:rPr>
        <w:b/>
        <w:color w:val="5d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1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74f84" w:themeColor="accent4" w:themeTint="9A" w:themeShade="95"/>
      </w:rPr>
      <w:pPr>
        <w:pBdr/>
        <w:spacing/>
        <w:ind/>
      </w:pPr>
      <w:tblPr>
        <w:tblBorders/>
      </w:tblPr>
      <w:tcPr>
        <w:tcBorders/>
      </w:tcPr>
    </w:tblStylePr>
    <w:tblStylePr w:type="firstRow">
      <w:rPr>
        <w:b/>
        <w:color w:val="67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74f84" w:themeColor="accent4" w:themeTint="9A" w:themeShade="95"/>
      </w:rPr>
      <w:pPr>
        <w:pBdr/>
        <w:spacing/>
        <w:ind/>
      </w:pPr>
      <w:tblPr>
        <w:tblBorders/>
      </w:tblPr>
      <w:tcPr>
        <w:tcBorders/>
      </w:tcPr>
    </w:tblStylePr>
    <w:tblStylePr w:type="lastRow">
      <w:rPr>
        <w:b/>
        <w:color w:val="67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11"/>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11"/>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11"/>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1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6da5"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11"/>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b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b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f3b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b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f3b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11"/>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d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d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d73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d73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d73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d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11"/>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7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7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7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7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7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11"/>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879"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11"/>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25408"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11"/>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1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11"/>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11"/>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11"/>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11"/>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11"/>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1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1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1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11"/>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1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11"/>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11"/>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1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1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11"/>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11"/>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11"/>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11"/>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11"/>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11"/>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1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11"/>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11"/>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11"/>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11"/>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11"/>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11"/>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1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11"/>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b38" w:themeColor="accent2" w:themeTint="97" w:themeShade="95"/>
      </w:rPr>
      <w:pPr>
        <w:pBdr/>
        <w:spacing/>
        <w:ind/>
      </w:pPr>
      <w:tblPr>
        <w:tblBorders/>
      </w:tblPr>
      <w:tcPr>
        <w:tcBorders/>
      </w:tcPr>
    </w:tblStylePr>
    <w:tblStylePr w:type="firstRow">
      <w:rPr>
        <w:b/>
        <w:color w:val="9f3b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b38" w:themeColor="accent2" w:themeTint="97" w:themeShade="95"/>
      </w:rPr>
      <w:pPr>
        <w:pBdr/>
        <w:spacing/>
        <w:ind/>
      </w:pPr>
      <w:tblPr>
        <w:tblBorders/>
      </w:tblPr>
      <w:tcPr>
        <w:tcBorders/>
      </w:tcPr>
    </w:tblStylePr>
    <w:tblStylePr w:type="lastRow">
      <w:rPr>
        <w:b/>
        <w:color w:val="9f3b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11"/>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a3f" w:themeColor="accent3" w:themeTint="98" w:themeShade="95"/>
      </w:rPr>
      <w:pPr>
        <w:pBdr/>
        <w:spacing/>
        <w:ind/>
      </w:pPr>
      <w:tblPr>
        <w:tblBorders/>
      </w:tblPr>
      <w:tcPr>
        <w:tcBorders/>
      </w:tcPr>
    </w:tblStylePr>
    <w:tblStylePr w:type="firstRow">
      <w:rPr>
        <w:b/>
        <w:color w:val="7c9a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a3f" w:themeColor="accent3" w:themeTint="98" w:themeShade="95"/>
      </w:rPr>
      <w:pPr>
        <w:pBdr/>
        <w:spacing/>
        <w:ind/>
      </w:pPr>
      <w:tblPr>
        <w:tblBorders/>
      </w:tblPr>
      <w:tcPr>
        <w:tcBorders/>
      </w:tcPr>
    </w:tblStylePr>
    <w:tblStylePr w:type="lastRow">
      <w:rPr>
        <w:b/>
        <w:color w:val="7c9a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11"/>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74f84" w:themeColor="accent4" w:themeTint="9A" w:themeShade="95"/>
      </w:rPr>
      <w:pPr>
        <w:pBdr/>
        <w:spacing/>
        <w:ind/>
      </w:pPr>
      <w:tblPr>
        <w:tblBorders/>
      </w:tblPr>
      <w:tcPr>
        <w:tcBorders/>
      </w:tcPr>
    </w:tblStylePr>
    <w:tblStylePr w:type="firstRow">
      <w:rPr>
        <w:b/>
        <w:color w:val="67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74f84" w:themeColor="accent4" w:themeTint="9A" w:themeShade="95"/>
      </w:rPr>
      <w:pPr>
        <w:pBdr/>
        <w:spacing/>
        <w:ind/>
      </w:pPr>
      <w:tblPr>
        <w:tblBorders/>
      </w:tblPr>
      <w:tcPr>
        <w:tcBorders/>
      </w:tcPr>
    </w:tblStylePr>
    <w:tblStylePr w:type="lastRow">
      <w:rPr>
        <w:b/>
        <w:color w:val="67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11"/>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48ba3" w:themeColor="accent5" w:themeTint="9A" w:themeShade="95"/>
      </w:rPr>
      <w:pPr>
        <w:pBdr/>
        <w:spacing/>
        <w:ind/>
      </w:pPr>
      <w:tblPr>
        <w:tblBorders/>
      </w:tblPr>
      <w:tcPr>
        <w:tcBorders/>
      </w:tcPr>
    </w:tblStylePr>
    <w:tblStylePr w:type="firstRow">
      <w:rPr>
        <w:b/>
        <w:color w:val="34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48ba3" w:themeColor="accent5" w:themeTint="9A" w:themeShade="95"/>
      </w:rPr>
      <w:pPr>
        <w:pBdr/>
        <w:spacing/>
        <w:ind/>
      </w:pPr>
      <w:tblPr>
        <w:tblBorders/>
      </w:tblPr>
      <w:tcPr>
        <w:tcBorders/>
      </w:tcPr>
    </w:tblStylePr>
    <w:tblStylePr w:type="lastRow">
      <w:rPr>
        <w:b/>
        <w:color w:val="34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11"/>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90a" w:themeColor="accent6" w:themeTint="98" w:themeShade="95"/>
      </w:rPr>
      <w:pPr>
        <w:pBdr/>
        <w:spacing/>
        <w:ind/>
      </w:pPr>
      <w:tblPr>
        <w:tblBorders/>
      </w:tblPr>
      <w:tcPr>
        <w:tcBorders/>
      </w:tcPr>
    </w:tblStylePr>
    <w:tblStylePr w:type="firstRow">
      <w:rPr>
        <w:b/>
        <w:color w:val="dd69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90a" w:themeColor="accent6" w:themeTint="98" w:themeShade="95"/>
      </w:rPr>
      <w:pPr>
        <w:pBdr/>
        <w:spacing/>
        <w:ind/>
      </w:pPr>
      <w:tblPr>
        <w:tblBorders/>
      </w:tblPr>
      <w:tcPr>
        <w:tcBorders/>
      </w:tcPr>
    </w:tblStylePr>
    <w:tblStylePr w:type="lastRow">
      <w:rPr>
        <w:b/>
        <w:color w:val="dd69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11"/>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1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b4b72"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112">
    <w:name w:val="List Table 7 Colorful - Accent 2"/>
    <w:basedOn w:val="11"/>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b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b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f3b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b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f3b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b38" w:themeColor="accent2" w:themeTint="97" w:themeShade="95"/>
        <w:sz w:val="22"/>
      </w:rPr>
      <w:pPr>
        <w:pBdr/>
        <w:spacing/>
        <w:ind/>
      </w:pPr>
      <w:tblPr>
        <w:tblBorders/>
      </w:tblPr>
      <w:tcPr>
        <w:tcBorders/>
      </w:tcPr>
    </w:tblStylePr>
  </w:style>
  <w:style w:type="table" w:styleId="113">
    <w:name w:val="List Table 7 Colorful - Accent 3"/>
    <w:basedOn w:val="11"/>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a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a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a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a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a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a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a3f" w:themeColor="accent3" w:themeTint="98" w:themeShade="95"/>
        <w:sz w:val="22"/>
      </w:rPr>
      <w:pPr>
        <w:pBdr/>
        <w:spacing/>
        <w:ind/>
      </w:pPr>
      <w:tblPr>
        <w:tblBorders/>
      </w:tblPr>
      <w:tcPr>
        <w:tcBorders/>
      </w:tcPr>
    </w:tblStylePr>
  </w:style>
  <w:style w:type="table" w:styleId="114">
    <w:name w:val="List Table 7 Colorful - Accent 4"/>
    <w:basedOn w:val="11"/>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7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7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7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7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7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74f84" w:themeColor="accent4" w:themeTint="9A" w:themeShade="95"/>
        <w:sz w:val="22"/>
      </w:rPr>
      <w:pPr>
        <w:pBdr/>
        <w:spacing/>
        <w:ind/>
      </w:pPr>
      <w:tblPr>
        <w:tblBorders/>
      </w:tblPr>
      <w:tcPr>
        <w:tcBorders/>
      </w:tcPr>
    </w:tblStylePr>
  </w:style>
  <w:style w:type="table" w:styleId="115">
    <w:name w:val="List Table 7 Colorful - Accent 5"/>
    <w:basedOn w:val="11"/>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4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4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48ba3"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48ba3"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48ba3"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4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48ba3" w:themeColor="accent5" w:themeTint="9A" w:themeShade="95"/>
        <w:sz w:val="22"/>
      </w:rPr>
      <w:pPr>
        <w:pBdr/>
        <w:spacing/>
        <w:ind/>
      </w:pPr>
      <w:tblPr>
        <w:tblBorders/>
      </w:tblPr>
      <w:tcPr>
        <w:tcBorders/>
      </w:tcPr>
    </w:tblStylePr>
  </w:style>
  <w:style w:type="table" w:styleId="116">
    <w:name w:val="List Table 7 Colorful - Accent 6"/>
    <w:basedOn w:val="11"/>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9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9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90a"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d690a"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d690a"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d69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90a" w:themeColor="accent6" w:themeTint="98" w:themeShade="95"/>
        <w:sz w:val="22"/>
      </w:rPr>
      <w:pPr>
        <w:pBdr/>
        <w:spacing/>
        <w:ind/>
      </w:pPr>
      <w:tblPr>
        <w:tblBorders/>
      </w:tblPr>
      <w:tcPr>
        <w:tcBorders/>
      </w:tcPr>
    </w:tblStylePr>
  </w:style>
  <w:style w:type="table" w:styleId="117">
    <w:name w:val="Lined - Accent"/>
    <w:basedOn w:val="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11"/>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1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11"/>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11"/>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11"/>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11"/>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11"/>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11"/>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1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1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1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1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1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1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8" w:default="1">
    <w:name w:val="Normal"/>
    <w:qFormat/>
    <w:pPr>
      <w:pBdr/>
      <w:spacing/>
      <w:ind/>
    </w:pPr>
  </w:style>
  <w:style w:type="paragraph" w:styleId="145">
    <w:name w:val="Heading 7"/>
    <w:basedOn w:val="138"/>
    <w:next w:val="138"/>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138"/>
    <w:next w:val="138"/>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138"/>
    <w:next w:val="138"/>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48" w:default="1">
    <w:name w:val="Default Paragraph Font"/>
    <w:uiPriority w:val="1"/>
    <w:semiHidden/>
    <w:unhideWhenUsed/>
    <w:pPr>
      <w:pBdr/>
      <w:spacing/>
      <w:ind/>
    </w:pPr>
  </w:style>
  <w:style w:type="numbering" w:styleId="149" w:default="1">
    <w:name w:val="No List"/>
    <w:uiPriority w:val="99"/>
    <w:semiHidden/>
    <w:unhideWhenUsed/>
    <w:pPr>
      <w:pBdr/>
      <w:spacing/>
      <w:ind/>
    </w:pPr>
  </w:style>
  <w:style w:type="character" w:styleId="150">
    <w:name w:val="Heading 1 Char"/>
    <w:basedOn w:val="148"/>
    <w:link w:val="744"/>
    <w:uiPriority w:val="9"/>
    <w:pPr>
      <w:pBdr/>
      <w:spacing/>
      <w:ind/>
    </w:pPr>
    <w:rPr>
      <w:rFonts w:ascii="Arial" w:hAnsi="Arial" w:eastAsia="Arial" w:cs="Arial"/>
      <w:color w:val="0f4761" w:themeColor="accent1" w:themeShade="BF"/>
      <w:sz w:val="40"/>
      <w:szCs w:val="40"/>
    </w:rPr>
  </w:style>
  <w:style w:type="character" w:styleId="151">
    <w:name w:val="Heading 2 Char"/>
    <w:basedOn w:val="148"/>
    <w:link w:val="745"/>
    <w:uiPriority w:val="9"/>
    <w:pPr>
      <w:pBdr/>
      <w:spacing/>
      <w:ind/>
    </w:pPr>
    <w:rPr>
      <w:rFonts w:ascii="Arial" w:hAnsi="Arial" w:eastAsia="Arial" w:cs="Arial"/>
      <w:color w:val="0f4761" w:themeColor="accent1" w:themeShade="BF"/>
      <w:sz w:val="32"/>
      <w:szCs w:val="32"/>
    </w:rPr>
  </w:style>
  <w:style w:type="character" w:styleId="152">
    <w:name w:val="Heading 3 Char"/>
    <w:basedOn w:val="148"/>
    <w:link w:val="746"/>
    <w:uiPriority w:val="9"/>
    <w:pPr>
      <w:pBdr/>
      <w:spacing/>
      <w:ind/>
    </w:pPr>
    <w:rPr>
      <w:rFonts w:ascii="Arial" w:hAnsi="Arial" w:eastAsia="Arial" w:cs="Arial"/>
      <w:color w:val="0f4761" w:themeColor="accent1" w:themeShade="BF"/>
      <w:sz w:val="28"/>
      <w:szCs w:val="28"/>
    </w:rPr>
  </w:style>
  <w:style w:type="character" w:styleId="153">
    <w:name w:val="Heading 4 Char"/>
    <w:basedOn w:val="148"/>
    <w:link w:val="732"/>
    <w:uiPriority w:val="9"/>
    <w:pPr>
      <w:pBdr/>
      <w:spacing/>
      <w:ind/>
    </w:pPr>
    <w:rPr>
      <w:rFonts w:ascii="Arial" w:hAnsi="Arial" w:eastAsia="Arial" w:cs="Arial"/>
      <w:i/>
      <w:iCs/>
      <w:color w:val="0f4761" w:themeColor="accent1" w:themeShade="BF"/>
    </w:rPr>
  </w:style>
  <w:style w:type="character" w:styleId="154">
    <w:name w:val="Heading 5 Char"/>
    <w:basedOn w:val="148"/>
    <w:link w:val="733"/>
    <w:uiPriority w:val="9"/>
    <w:pPr>
      <w:pBdr/>
      <w:spacing/>
      <w:ind/>
    </w:pPr>
    <w:rPr>
      <w:rFonts w:ascii="Arial" w:hAnsi="Arial" w:eastAsia="Arial" w:cs="Arial"/>
      <w:color w:val="0f4761" w:themeColor="accent1" w:themeShade="BF"/>
    </w:rPr>
  </w:style>
  <w:style w:type="character" w:styleId="155">
    <w:name w:val="Heading 6 Char"/>
    <w:basedOn w:val="148"/>
    <w:link w:val="734"/>
    <w:uiPriority w:val="9"/>
    <w:pPr>
      <w:pBdr/>
      <w:spacing/>
      <w:ind/>
    </w:pPr>
    <w:rPr>
      <w:rFonts w:ascii="Arial" w:hAnsi="Arial" w:eastAsia="Arial" w:cs="Arial"/>
      <w:i/>
      <w:iCs/>
      <w:color w:val="595959" w:themeColor="text1" w:themeTint="A6"/>
    </w:rPr>
  </w:style>
  <w:style w:type="character" w:styleId="156">
    <w:name w:val="Heading 7 Char"/>
    <w:basedOn w:val="148"/>
    <w:link w:val="145"/>
    <w:uiPriority w:val="9"/>
    <w:pPr>
      <w:pBdr/>
      <w:spacing/>
      <w:ind/>
    </w:pPr>
    <w:rPr>
      <w:rFonts w:ascii="Arial" w:hAnsi="Arial" w:eastAsia="Arial" w:cs="Arial"/>
      <w:color w:val="595959" w:themeColor="text1" w:themeTint="A6"/>
    </w:rPr>
  </w:style>
  <w:style w:type="character" w:styleId="157">
    <w:name w:val="Heading 8 Char"/>
    <w:basedOn w:val="148"/>
    <w:link w:val="146"/>
    <w:uiPriority w:val="9"/>
    <w:pPr>
      <w:pBdr/>
      <w:spacing/>
      <w:ind/>
    </w:pPr>
    <w:rPr>
      <w:rFonts w:ascii="Arial" w:hAnsi="Arial" w:eastAsia="Arial" w:cs="Arial"/>
      <w:i/>
      <w:iCs/>
      <w:color w:val="272727" w:themeColor="text1" w:themeTint="D8"/>
    </w:rPr>
  </w:style>
  <w:style w:type="character" w:styleId="158">
    <w:name w:val="Heading 9 Char"/>
    <w:basedOn w:val="148"/>
    <w:link w:val="147"/>
    <w:uiPriority w:val="9"/>
    <w:pPr>
      <w:pBdr/>
      <w:spacing/>
      <w:ind/>
    </w:pPr>
    <w:rPr>
      <w:rFonts w:ascii="Arial" w:hAnsi="Arial" w:eastAsia="Arial" w:cs="Arial"/>
      <w:i/>
      <w:iCs/>
      <w:color w:val="272727" w:themeColor="text1" w:themeTint="D8"/>
    </w:rPr>
  </w:style>
  <w:style w:type="character" w:styleId="160">
    <w:name w:val="Title Char"/>
    <w:basedOn w:val="148"/>
    <w:link w:val="728"/>
    <w:uiPriority w:val="10"/>
    <w:pPr>
      <w:pBdr/>
      <w:spacing/>
      <w:ind/>
    </w:pPr>
    <w:rPr>
      <w:rFonts w:ascii="Arial" w:hAnsi="Arial" w:eastAsia="Arial" w:cs="Arial"/>
      <w:spacing w:val="-10"/>
      <w:sz w:val="56"/>
      <w:szCs w:val="56"/>
    </w:rPr>
  </w:style>
  <w:style w:type="paragraph" w:styleId="161">
    <w:name w:val="Subtitle"/>
    <w:basedOn w:val="138"/>
    <w:next w:val="138"/>
    <w:link w:val="162"/>
    <w:uiPriority w:val="11"/>
    <w:qFormat/>
    <w:pPr>
      <w:numPr>
        <w:ilvl w:val="1"/>
      </w:numPr>
      <w:pBdr/>
      <w:spacing/>
      <w:ind/>
    </w:pPr>
    <w:rPr>
      <w:color w:val="595959" w:themeColor="text1" w:themeTint="A6"/>
      <w:spacing w:val="15"/>
      <w:sz w:val="28"/>
      <w:szCs w:val="28"/>
    </w:rPr>
  </w:style>
  <w:style w:type="character" w:styleId="162">
    <w:name w:val="Subtitle Char"/>
    <w:basedOn w:val="148"/>
    <w:link w:val="161"/>
    <w:uiPriority w:val="11"/>
    <w:pPr>
      <w:pBdr/>
      <w:spacing/>
      <w:ind/>
    </w:pPr>
    <w:rPr>
      <w:color w:val="595959" w:themeColor="text1" w:themeTint="A6"/>
      <w:spacing w:val="15"/>
      <w:sz w:val="28"/>
      <w:szCs w:val="28"/>
    </w:rPr>
  </w:style>
  <w:style w:type="paragraph" w:styleId="163">
    <w:name w:val="Quote"/>
    <w:basedOn w:val="138"/>
    <w:next w:val="138"/>
    <w:link w:val="164"/>
    <w:uiPriority w:val="29"/>
    <w:qFormat/>
    <w:pPr>
      <w:pBdr/>
      <w:spacing w:before="160"/>
      <w:ind/>
      <w:jc w:val="center"/>
    </w:pPr>
    <w:rPr>
      <w:i/>
      <w:iCs/>
      <w:color w:val="404040" w:themeColor="text1" w:themeTint="BF"/>
    </w:rPr>
  </w:style>
  <w:style w:type="character" w:styleId="164">
    <w:name w:val="Quote Char"/>
    <w:basedOn w:val="148"/>
    <w:link w:val="163"/>
    <w:uiPriority w:val="29"/>
    <w:pPr>
      <w:pBdr/>
      <w:spacing/>
      <w:ind/>
    </w:pPr>
    <w:rPr>
      <w:i/>
      <w:iCs/>
      <w:color w:val="404040" w:themeColor="text1" w:themeTint="BF"/>
    </w:rPr>
  </w:style>
  <w:style w:type="character" w:styleId="166">
    <w:name w:val="Intense Emphasis"/>
    <w:basedOn w:val="148"/>
    <w:uiPriority w:val="21"/>
    <w:qFormat/>
    <w:pPr>
      <w:pBdr/>
      <w:spacing/>
      <w:ind/>
    </w:pPr>
    <w:rPr>
      <w:i/>
      <w:iCs/>
      <w:color w:val="0f4761" w:themeColor="accent1" w:themeShade="BF"/>
    </w:rPr>
  </w:style>
  <w:style w:type="paragraph" w:styleId="167">
    <w:name w:val="Intense Quote"/>
    <w:basedOn w:val="138"/>
    <w:next w:val="138"/>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148"/>
    <w:link w:val="167"/>
    <w:uiPriority w:val="30"/>
    <w:pPr>
      <w:pBdr/>
      <w:spacing/>
      <w:ind/>
    </w:pPr>
    <w:rPr>
      <w:i/>
      <w:iCs/>
      <w:color w:val="0f4761" w:themeColor="accent1" w:themeShade="BF"/>
    </w:rPr>
  </w:style>
  <w:style w:type="character" w:styleId="169">
    <w:name w:val="Intense Reference"/>
    <w:basedOn w:val="148"/>
    <w:uiPriority w:val="32"/>
    <w:qFormat/>
    <w:pPr>
      <w:pBdr/>
      <w:spacing/>
      <w:ind/>
    </w:pPr>
    <w:rPr>
      <w:b/>
      <w:bCs/>
      <w:smallCaps/>
      <w:color w:val="0f4761" w:themeColor="accent1" w:themeShade="BF"/>
      <w:spacing w:val="5"/>
    </w:rPr>
  </w:style>
  <w:style w:type="paragraph" w:styleId="170">
    <w:name w:val="No Spacing"/>
    <w:basedOn w:val="138"/>
    <w:uiPriority w:val="1"/>
    <w:qFormat/>
    <w:pPr>
      <w:pBdr/>
      <w:spacing w:after="0" w:line="240" w:lineRule="auto"/>
      <w:ind/>
    </w:pPr>
  </w:style>
  <w:style w:type="character" w:styleId="171">
    <w:name w:val="Subtle Emphasis"/>
    <w:basedOn w:val="148"/>
    <w:uiPriority w:val="19"/>
    <w:qFormat/>
    <w:pPr>
      <w:pBdr/>
      <w:spacing/>
      <w:ind/>
    </w:pPr>
    <w:rPr>
      <w:i/>
      <w:iCs/>
      <w:color w:val="404040" w:themeColor="text1" w:themeTint="BF"/>
    </w:rPr>
  </w:style>
  <w:style w:type="character" w:styleId="172">
    <w:name w:val="Emphasis"/>
    <w:basedOn w:val="148"/>
    <w:uiPriority w:val="20"/>
    <w:qFormat/>
    <w:pPr>
      <w:pBdr/>
      <w:spacing/>
      <w:ind/>
    </w:pPr>
    <w:rPr>
      <w:i/>
      <w:iCs/>
    </w:rPr>
  </w:style>
  <w:style w:type="character" w:styleId="174">
    <w:name w:val="Subtle Reference"/>
    <w:basedOn w:val="148"/>
    <w:uiPriority w:val="31"/>
    <w:qFormat/>
    <w:pPr>
      <w:pBdr/>
      <w:spacing/>
      <w:ind/>
    </w:pPr>
    <w:rPr>
      <w:smallCaps/>
      <w:color w:val="5a5a5a" w:themeColor="text1" w:themeTint="A5"/>
    </w:rPr>
  </w:style>
  <w:style w:type="character" w:styleId="175">
    <w:name w:val="Book Title"/>
    <w:basedOn w:val="148"/>
    <w:uiPriority w:val="33"/>
    <w:qFormat/>
    <w:pPr>
      <w:pBdr/>
      <w:spacing/>
      <w:ind/>
    </w:pPr>
    <w:rPr>
      <w:b/>
      <w:bCs/>
      <w:i/>
      <w:iCs/>
      <w:spacing w:val="5"/>
    </w:rPr>
  </w:style>
  <w:style w:type="paragraph" w:styleId="176">
    <w:name w:val="Header"/>
    <w:basedOn w:val="138"/>
    <w:link w:val="177"/>
    <w:uiPriority w:val="99"/>
    <w:unhideWhenUsed/>
    <w:pPr>
      <w:pBdr/>
      <w:tabs>
        <w:tab w:val="center" w:leader="none" w:pos="4844"/>
        <w:tab w:val="right" w:leader="none" w:pos="9689"/>
      </w:tabs>
      <w:spacing w:after="0" w:line="240" w:lineRule="auto"/>
      <w:ind/>
    </w:pPr>
  </w:style>
  <w:style w:type="character" w:styleId="177">
    <w:name w:val="Header Char"/>
    <w:basedOn w:val="148"/>
    <w:link w:val="176"/>
    <w:uiPriority w:val="99"/>
    <w:pPr>
      <w:pBdr/>
      <w:spacing/>
      <w:ind/>
    </w:pPr>
  </w:style>
  <w:style w:type="paragraph" w:styleId="178">
    <w:name w:val="Footer"/>
    <w:basedOn w:val="138"/>
    <w:link w:val="179"/>
    <w:uiPriority w:val="99"/>
    <w:unhideWhenUsed/>
    <w:pPr>
      <w:pBdr/>
      <w:tabs>
        <w:tab w:val="center" w:leader="none" w:pos="4844"/>
        <w:tab w:val="right" w:leader="none" w:pos="9689"/>
      </w:tabs>
      <w:spacing w:after="0" w:line="240" w:lineRule="auto"/>
      <w:ind/>
    </w:pPr>
  </w:style>
  <w:style w:type="character" w:styleId="179">
    <w:name w:val="Footer Char"/>
    <w:basedOn w:val="148"/>
    <w:link w:val="178"/>
    <w:uiPriority w:val="99"/>
    <w:pPr>
      <w:pBdr/>
      <w:spacing/>
      <w:ind/>
    </w:pPr>
  </w:style>
  <w:style w:type="paragraph" w:styleId="180">
    <w:name w:val="Caption"/>
    <w:basedOn w:val="138"/>
    <w:next w:val="138"/>
    <w:uiPriority w:val="35"/>
    <w:unhideWhenUsed/>
    <w:qFormat/>
    <w:pPr>
      <w:pBdr/>
      <w:spacing w:after="200" w:line="240" w:lineRule="auto"/>
      <w:ind/>
    </w:pPr>
    <w:rPr>
      <w:i/>
      <w:iCs/>
      <w:color w:val="0e2841" w:themeColor="text2"/>
      <w:sz w:val="18"/>
      <w:szCs w:val="18"/>
    </w:rPr>
  </w:style>
  <w:style w:type="character" w:styleId="188">
    <w:name w:val="FollowedHyperlink"/>
    <w:basedOn w:val="148"/>
    <w:uiPriority w:val="99"/>
    <w:semiHidden/>
    <w:unhideWhenUsed/>
    <w:pPr>
      <w:pBdr/>
      <w:spacing/>
      <w:ind/>
    </w:pPr>
    <w:rPr>
      <w:color w:val="954f72" w:themeColor="followedHyperlink"/>
      <w:u w:val="single"/>
    </w:rPr>
  </w:style>
  <w:style w:type="paragraph" w:styleId="189">
    <w:name w:val="toc 1"/>
    <w:basedOn w:val="138"/>
    <w:next w:val="138"/>
    <w:uiPriority w:val="39"/>
    <w:unhideWhenUsed/>
    <w:pPr>
      <w:pBdr/>
      <w:spacing w:after="100"/>
      <w:ind/>
    </w:pPr>
  </w:style>
  <w:style w:type="paragraph" w:styleId="190">
    <w:name w:val="toc 2"/>
    <w:basedOn w:val="138"/>
    <w:next w:val="138"/>
    <w:uiPriority w:val="39"/>
    <w:unhideWhenUsed/>
    <w:pPr>
      <w:pBdr/>
      <w:spacing w:after="100"/>
      <w:ind w:left="220"/>
    </w:pPr>
  </w:style>
  <w:style w:type="paragraph" w:styleId="191">
    <w:name w:val="toc 3"/>
    <w:basedOn w:val="138"/>
    <w:next w:val="138"/>
    <w:uiPriority w:val="39"/>
    <w:unhideWhenUsed/>
    <w:pPr>
      <w:pBdr/>
      <w:spacing w:after="100"/>
      <w:ind w:left="440"/>
    </w:pPr>
  </w:style>
  <w:style w:type="paragraph" w:styleId="192">
    <w:name w:val="toc 4"/>
    <w:basedOn w:val="138"/>
    <w:next w:val="138"/>
    <w:uiPriority w:val="39"/>
    <w:unhideWhenUsed/>
    <w:pPr>
      <w:pBdr/>
      <w:spacing w:after="100"/>
      <w:ind w:left="660"/>
    </w:pPr>
  </w:style>
  <w:style w:type="paragraph" w:styleId="193">
    <w:name w:val="toc 5"/>
    <w:basedOn w:val="138"/>
    <w:next w:val="138"/>
    <w:uiPriority w:val="39"/>
    <w:unhideWhenUsed/>
    <w:pPr>
      <w:pBdr/>
      <w:spacing w:after="100"/>
      <w:ind w:left="880"/>
    </w:pPr>
  </w:style>
  <w:style w:type="paragraph" w:styleId="194">
    <w:name w:val="toc 6"/>
    <w:basedOn w:val="138"/>
    <w:next w:val="138"/>
    <w:uiPriority w:val="39"/>
    <w:unhideWhenUsed/>
    <w:pPr>
      <w:pBdr/>
      <w:spacing w:after="100"/>
      <w:ind w:left="1100"/>
    </w:pPr>
  </w:style>
  <w:style w:type="paragraph" w:styleId="195">
    <w:name w:val="toc 7"/>
    <w:basedOn w:val="138"/>
    <w:next w:val="138"/>
    <w:uiPriority w:val="39"/>
    <w:unhideWhenUsed/>
    <w:pPr>
      <w:pBdr/>
      <w:spacing w:after="100"/>
      <w:ind w:left="1320"/>
    </w:pPr>
  </w:style>
  <w:style w:type="paragraph" w:styleId="196">
    <w:name w:val="toc 8"/>
    <w:basedOn w:val="138"/>
    <w:next w:val="138"/>
    <w:uiPriority w:val="39"/>
    <w:unhideWhenUsed/>
    <w:pPr>
      <w:pBdr/>
      <w:spacing w:after="100"/>
      <w:ind w:left="1540"/>
    </w:pPr>
  </w:style>
  <w:style w:type="paragraph" w:styleId="197">
    <w:name w:val="toc 9"/>
    <w:basedOn w:val="138"/>
    <w:next w:val="138"/>
    <w:uiPriority w:val="39"/>
    <w:unhideWhenUsed/>
    <w:pPr>
      <w:pBdr/>
      <w:spacing w:after="100"/>
      <w:ind w:left="1760"/>
    </w:pPr>
  </w:style>
  <w:style w:type="character" w:styleId="198">
    <w:name w:val="Placeholder Text"/>
    <w:basedOn w:val="148"/>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138"/>
    <w:next w:val="138"/>
    <w:uiPriority w:val="99"/>
    <w:unhideWhenUsed/>
    <w:pPr>
      <w:pBdr/>
      <w:spacing w:after="0" w:afterAutospacing="0"/>
      <w:ind/>
    </w:pPr>
  </w:style>
  <w:style w:type="paragraph" w:styleId="728">
    <w:name w:val="Title"/>
    <w:qFormat/>
    <w:pPr>
      <w:pBdr/>
      <w:spacing/>
      <w:ind/>
    </w:pPr>
    <w:rPr>
      <w:sz w:val="56"/>
      <w:szCs w:val="56"/>
    </w:rPr>
  </w:style>
  <w:style w:type="paragraph" w:styleId="732">
    <w:name w:val="Heading 4"/>
    <w:qFormat/>
    <w:pPr>
      <w:pBdr/>
      <w:spacing/>
      <w:ind/>
    </w:pPr>
    <w:rPr>
      <w:i/>
      <w:iCs/>
      <w:color w:val="2e74b5"/>
    </w:rPr>
  </w:style>
  <w:style w:type="paragraph" w:styleId="733">
    <w:name w:val="Heading 5"/>
    <w:qFormat/>
    <w:pPr>
      <w:pBdr/>
      <w:spacing/>
      <w:ind/>
    </w:pPr>
    <w:rPr>
      <w:color w:val="2e74b5"/>
    </w:rPr>
  </w:style>
  <w:style w:type="paragraph" w:styleId="734">
    <w:name w:val="Heading 6"/>
    <w:qFormat/>
    <w:pPr>
      <w:pBdr/>
      <w:spacing/>
      <w:ind/>
    </w:pPr>
    <w:rPr>
      <w:color w:val="1f4d78"/>
    </w:rPr>
  </w:style>
  <w:style w:type="paragraph" w:styleId="735">
    <w:name w:val="Strong"/>
    <w:qFormat/>
    <w:pPr>
      <w:pBdr/>
      <w:spacing/>
      <w:ind/>
    </w:pPr>
    <w:rPr>
      <w:b/>
      <w:bCs/>
    </w:rPr>
  </w:style>
  <w:style w:type="paragraph" w:styleId="736">
    <w:name w:val="List Paragraph"/>
    <w:qFormat/>
    <w:pPr>
      <w:pBdr/>
      <w:spacing/>
      <w:ind/>
    </w:pPr>
  </w:style>
  <w:style w:type="character" w:styleId="737">
    <w:name w:val="Hyperlink"/>
    <w:uiPriority w:val="99"/>
    <w:unhideWhenUsed/>
    <w:pPr>
      <w:pBdr/>
      <w:spacing/>
      <w:ind/>
    </w:pPr>
    <w:rPr>
      <w:color w:val="0563c1"/>
      <w:u w:val="single"/>
    </w:rPr>
  </w:style>
  <w:style w:type="character" w:styleId="738">
    <w:name w:val="footnote reference"/>
    <w:uiPriority w:val="99"/>
    <w:semiHidden/>
    <w:unhideWhenUsed/>
    <w:pPr>
      <w:pBdr/>
      <w:spacing/>
      <w:ind/>
    </w:pPr>
    <w:rPr>
      <w:vertAlign w:val="superscript"/>
    </w:rPr>
  </w:style>
  <w:style w:type="paragraph" w:styleId="739">
    <w:name w:val="footnote text"/>
    <w:link w:val="740"/>
    <w:uiPriority w:val="99"/>
    <w:semiHidden/>
    <w:unhideWhenUsed/>
    <w:pPr>
      <w:pBdr/>
      <w:spacing w:after="0" w:line="240" w:lineRule="auto"/>
      <w:ind/>
    </w:pPr>
    <w:rPr>
      <w:sz w:val="20"/>
      <w:szCs w:val="20"/>
    </w:rPr>
  </w:style>
  <w:style w:type="character" w:styleId="740">
    <w:name w:val="Footnote Text Char"/>
    <w:link w:val="739"/>
    <w:uiPriority w:val="99"/>
    <w:semiHidden/>
    <w:unhideWhenUsed/>
    <w:pPr>
      <w:pBdr/>
      <w:spacing/>
      <w:ind/>
    </w:pPr>
    <w:rPr>
      <w:sz w:val="20"/>
      <w:szCs w:val="20"/>
    </w:rPr>
  </w:style>
  <w:style w:type="character" w:styleId="741">
    <w:name w:val="endnote reference"/>
    <w:uiPriority w:val="99"/>
    <w:semiHidden/>
    <w:unhideWhenUsed/>
    <w:pPr>
      <w:pBdr/>
      <w:spacing/>
      <w:ind/>
    </w:pPr>
    <w:rPr>
      <w:vertAlign w:val="superscript"/>
    </w:rPr>
  </w:style>
  <w:style w:type="paragraph" w:styleId="742">
    <w:name w:val="endnote text"/>
    <w:link w:val="743"/>
    <w:uiPriority w:val="99"/>
    <w:semiHidden/>
    <w:unhideWhenUsed/>
    <w:pPr>
      <w:pBdr/>
      <w:spacing w:after="0" w:line="240" w:lineRule="auto"/>
      <w:ind/>
    </w:pPr>
    <w:rPr>
      <w:sz w:val="20"/>
      <w:szCs w:val="20"/>
    </w:rPr>
  </w:style>
  <w:style w:type="character" w:styleId="743">
    <w:name w:val="Endnote Text Char"/>
    <w:link w:val="742"/>
    <w:uiPriority w:val="99"/>
    <w:semiHidden/>
    <w:unhideWhenUsed/>
    <w:pPr>
      <w:pBdr/>
      <w:spacing/>
      <w:ind/>
    </w:pPr>
    <w:rPr>
      <w:sz w:val="20"/>
      <w:szCs w:val="20"/>
    </w:rPr>
  </w:style>
  <w:style w:type="paragraph" w:styleId="744">
    <w:name w:val="Heading 1"/>
    <w:qFormat/>
    <w:pPr>
      <w:pBdr/>
      <w:spacing w:after="140" w:before="280"/>
      <w:ind/>
      <w:outlineLvl w:val="0"/>
    </w:pPr>
    <w:rPr>
      <w:rFonts w:ascii="Arial" w:hAnsi="Arial" w:eastAsia="Arial" w:cs="Arial"/>
      <w:b/>
      <w:bCs/>
      <w:sz w:val="26"/>
      <w:szCs w:val="26"/>
    </w:rPr>
  </w:style>
  <w:style w:type="paragraph" w:styleId="745">
    <w:name w:val="Heading 2"/>
    <w:qFormat/>
    <w:pPr>
      <w:pBdr/>
      <w:spacing w:after="100" w:before="220"/>
      <w:ind/>
      <w:outlineLvl w:val="1"/>
    </w:pPr>
    <w:rPr>
      <w:rFonts w:ascii="Arial" w:hAnsi="Arial" w:eastAsia="Arial" w:cs="Arial"/>
      <w:b/>
      <w:bCs/>
      <w:sz w:val="24"/>
      <w:szCs w:val="24"/>
    </w:rPr>
  </w:style>
  <w:style w:type="paragraph" w:styleId="746">
    <w:name w:val="Heading 3"/>
    <w:qFormat/>
    <w:pPr>
      <w:pBdr/>
      <w:spacing w:after="80" w:before="160"/>
      <w:ind/>
      <w:outlineLvl w:val="2"/>
    </w:pPr>
    <w:rPr>
      <w:rFonts w:ascii="Arial" w:hAnsi="Arial" w:eastAsia="Arial" w:cs="Arial"/>
      <w:b/>
      <w:bCs/>
      <w:i/>
      <w:iCs/>
      <w:sz w:val="24"/>
      <w:szCs w:val="24"/>
    </w:rPr>
  </w:style>
  <w:style w:type="paragraph" w:styleId="747">
    <w:name w:val="Abstract"/>
    <w:pPr>
      <w:pBdr/>
      <w:spacing w:after="160"/>
      <w:ind w:right="720" w:left="720"/>
      <w:jc w:val="both"/>
    </w:pPr>
    <w:rPr>
      <w:rFonts w:ascii="Times New Roman" w:hAnsi="Times New Roman" w:eastAsia="Times New Roman" w:cs="Times New Roman"/>
      <w:sz w:val="22"/>
      <w:szCs w:val="22"/>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ONLYOFFICE/9.3.1.8</Application>
  <HeadingPairs>
    <vt:vector size="0" baseType="variant"/>
  </HeadingPairs>
  <TitlesOfParts>
    <vt:vector size="0" baseType="lpstr"/>
  </TitlesOfPart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revision>2</cp:revision>
  <dcterms:created xsi:type="dcterms:W3CDTF">2026-05-24T14:20:42Z</dcterms:created>
  <dcterms:modified xsi:type="dcterms:W3CDTF">2026-05-27T19:54:09Z</dcterms:modified>
</cp:coreProperties>
</file>